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rPr>
        <w:t>201</w:t>
      </w:r>
      <w:r>
        <w:rPr>
          <w:rFonts w:hint="eastAsia" w:ascii="黑体" w:hAnsi="黑体" w:eastAsia="黑体" w:cs="黑体"/>
          <w:sz w:val="36"/>
          <w:szCs w:val="36"/>
          <w:lang w:val="en-US" w:eastAsia="zh-CN"/>
        </w:rPr>
        <w:t>9</w:t>
      </w:r>
      <w:r>
        <w:rPr>
          <w:rFonts w:hint="eastAsia" w:ascii="黑体" w:hAnsi="黑体" w:eastAsia="黑体" w:cs="黑体"/>
          <w:sz w:val="36"/>
          <w:szCs w:val="36"/>
        </w:rPr>
        <w:t>年</w:t>
      </w:r>
      <w:r>
        <w:rPr>
          <w:rFonts w:hint="eastAsia" w:ascii="黑体" w:hAnsi="黑体" w:eastAsia="黑体" w:cs="黑体"/>
          <w:sz w:val="36"/>
          <w:szCs w:val="36"/>
          <w:lang w:eastAsia="zh-CN"/>
        </w:rPr>
        <w:t>平顶山市</w:t>
      </w:r>
      <w:r>
        <w:rPr>
          <w:rFonts w:hint="eastAsia" w:ascii="黑体" w:hAnsi="黑体" w:eastAsia="黑体" w:cs="黑体"/>
          <w:sz w:val="36"/>
          <w:szCs w:val="36"/>
        </w:rPr>
        <w:t>新城区</w:t>
      </w:r>
      <w:r>
        <w:rPr>
          <w:rFonts w:hint="eastAsia" w:ascii="黑体" w:hAnsi="黑体" w:eastAsia="黑体" w:cs="黑体"/>
          <w:sz w:val="36"/>
          <w:szCs w:val="36"/>
          <w:lang w:eastAsia="zh-CN"/>
        </w:rPr>
        <w:t>村镇办部门预算说明</w:t>
      </w:r>
    </w:p>
    <w:p>
      <w:pPr>
        <w:ind w:firstLine="3360" w:firstLineChars="700"/>
        <w:jc w:val="both"/>
        <w:rPr>
          <w:rFonts w:hint="eastAsia" w:ascii="黑体" w:hAnsi="黑体" w:eastAsia="黑体" w:cs="黑体"/>
          <w:sz w:val="48"/>
          <w:szCs w:val="48"/>
        </w:rPr>
      </w:pPr>
    </w:p>
    <w:p>
      <w:pPr>
        <w:ind w:firstLine="3360" w:firstLineChars="700"/>
        <w:jc w:val="both"/>
        <w:rPr>
          <w:rFonts w:ascii="黑体" w:hAnsi="黑体" w:eastAsia="黑体" w:cs="黑体"/>
          <w:sz w:val="48"/>
          <w:szCs w:val="48"/>
        </w:rPr>
      </w:pPr>
      <w:r>
        <w:rPr>
          <w:rFonts w:hint="eastAsia" w:ascii="黑体" w:hAnsi="黑体" w:eastAsia="黑体" w:cs="黑体"/>
          <w:sz w:val="48"/>
          <w:szCs w:val="48"/>
        </w:rPr>
        <w:t>目　　录</w:t>
      </w:r>
    </w:p>
    <w:p>
      <w:pPr>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平顶山市新城区</w:t>
      </w:r>
      <w:r>
        <w:rPr>
          <w:rFonts w:hint="eastAsia" w:ascii="黑体" w:hAnsi="黑体" w:eastAsia="黑体" w:cs="黑体"/>
          <w:sz w:val="32"/>
          <w:szCs w:val="32"/>
          <w:lang w:eastAsia="zh-CN"/>
        </w:rPr>
        <w:t>村镇</w:t>
      </w:r>
      <w:r>
        <w:rPr>
          <w:rFonts w:hint="eastAsia" w:ascii="黑体" w:hAnsi="黑体" w:eastAsia="黑体" w:cs="黑体"/>
          <w:sz w:val="32"/>
          <w:szCs w:val="32"/>
        </w:rPr>
        <w:t>办概况</w:t>
      </w:r>
    </w:p>
    <w:p>
      <w:pPr>
        <w:numPr>
          <w:ilvl w:val="0"/>
          <w:numId w:val="0"/>
        </w:numPr>
        <w:ind w:firstLine="320" w:firstLineChars="100"/>
        <w:jc w:val="left"/>
        <w:rPr>
          <w:rFonts w:hint="eastAsia" w:ascii="仿宋" w:hAnsi="仿宋" w:eastAsia="仿宋" w:cs="仿宋"/>
          <w:sz w:val="32"/>
          <w:szCs w:val="32"/>
        </w:rPr>
      </w:pPr>
      <w:r>
        <w:rPr>
          <w:rFonts w:hint="eastAsia" w:ascii="仿宋" w:hAnsi="仿宋" w:eastAsia="仿宋" w:cs="仿宋"/>
          <w:sz w:val="32"/>
          <w:szCs w:val="32"/>
          <w:lang w:eastAsia="zh-CN"/>
        </w:rPr>
        <w:t>一、主要</w:t>
      </w:r>
      <w:r>
        <w:rPr>
          <w:rFonts w:hint="eastAsia" w:ascii="仿宋" w:hAnsi="仿宋" w:eastAsia="仿宋" w:cs="仿宋"/>
          <w:sz w:val="32"/>
          <w:szCs w:val="32"/>
        </w:rPr>
        <w:t>职责</w:t>
      </w:r>
    </w:p>
    <w:p>
      <w:pPr>
        <w:numPr>
          <w:ilvl w:val="0"/>
          <w:numId w:val="0"/>
        </w:num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部门预算单位构成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平顶山市新城区村镇办</w:t>
      </w:r>
      <w:r>
        <w:rPr>
          <w:rFonts w:hint="eastAsia"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年部门预算</w:t>
      </w:r>
      <w:r>
        <w:rPr>
          <w:rFonts w:hint="eastAsia" w:ascii="黑体" w:hAnsi="黑体" w:eastAsia="黑体" w:cs="黑体"/>
          <w:sz w:val="32"/>
          <w:szCs w:val="32"/>
          <w:lang w:eastAsia="zh-CN"/>
        </w:rPr>
        <w:t>情况说明</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第三部分　</w:t>
      </w:r>
      <w:r>
        <w:rPr>
          <w:rFonts w:hint="eastAsia" w:ascii="黑体" w:hAnsi="黑体" w:eastAsia="黑体" w:cs="黑体"/>
          <w:sz w:val="32"/>
          <w:szCs w:val="32"/>
          <w:lang w:eastAsia="zh-CN"/>
        </w:rPr>
        <w:t>名词解释</w:t>
      </w: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附件：平顶山市新城区村镇办</w:t>
      </w:r>
      <w:r>
        <w:rPr>
          <w:rFonts w:hint="eastAsia"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年部门预算</w:t>
      </w:r>
      <w:r>
        <w:rPr>
          <w:rFonts w:hint="eastAsia" w:ascii="黑体" w:hAnsi="黑体" w:eastAsia="黑体" w:cs="黑体"/>
          <w:sz w:val="32"/>
          <w:szCs w:val="32"/>
          <w:lang w:eastAsia="zh-CN"/>
        </w:rPr>
        <w:t>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部门</w:t>
      </w:r>
      <w:r>
        <w:rPr>
          <w:rFonts w:hint="eastAsia" w:ascii="仿宋" w:hAnsi="仿宋" w:eastAsia="仿宋" w:cs="仿宋"/>
          <w:sz w:val="32"/>
          <w:szCs w:val="32"/>
        </w:rPr>
        <w:t>收支</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二、部门收入总体情况表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三、部门支出总体情况表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四、财政拨款收支</w:t>
      </w:r>
      <w:r>
        <w:rPr>
          <w:rFonts w:hint="eastAsia" w:ascii="仿宋" w:hAnsi="仿宋" w:eastAsia="仿宋" w:cs="仿宋"/>
          <w:sz w:val="32"/>
          <w:szCs w:val="32"/>
          <w:lang w:eastAsia="zh-CN"/>
        </w:rPr>
        <w:t>总体情况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五、一般公共预算支出</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六、支出经济分类汇总表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七、一般公共预算“三公”经费支出</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八、政府性基金预算支出</w:t>
      </w:r>
      <w:r>
        <w:rPr>
          <w:rFonts w:hint="eastAsia" w:ascii="仿宋" w:hAnsi="仿宋" w:eastAsia="仿宋" w:cs="仿宋"/>
          <w:sz w:val="32"/>
          <w:szCs w:val="32"/>
          <w:lang w:eastAsia="zh-CN"/>
        </w:rPr>
        <w:t>情况</w:t>
      </w:r>
      <w:r>
        <w:rPr>
          <w:rFonts w:hint="eastAsia" w:ascii="仿宋" w:hAnsi="仿宋" w:eastAsia="仿宋" w:cs="仿宋"/>
          <w:sz w:val="32"/>
          <w:szCs w:val="32"/>
        </w:rPr>
        <w:t>表</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九、</w:t>
      </w:r>
      <w:r>
        <w:rPr>
          <w:rFonts w:hint="eastAsia" w:ascii="仿宋" w:hAnsi="仿宋" w:eastAsia="仿宋" w:cs="仿宋"/>
          <w:sz w:val="32"/>
          <w:szCs w:val="32"/>
          <w:lang w:eastAsia="zh-CN"/>
        </w:rPr>
        <w:t>部门（单位）整体绩效目标表</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十、</w:t>
      </w:r>
      <w:r>
        <w:rPr>
          <w:rFonts w:hint="eastAsia" w:ascii="仿宋" w:hAnsi="仿宋" w:eastAsia="仿宋" w:cs="仿宋"/>
          <w:sz w:val="32"/>
          <w:szCs w:val="32"/>
          <w:lang w:eastAsia="zh-CN"/>
        </w:rPr>
        <w:t>部门预算项目绩效目标汇总表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numPr>
          <w:ilvl w:val="0"/>
          <w:numId w:val="0"/>
        </w:numPr>
        <w:ind w:leftChars="-800" w:firstLine="4800" w:firstLineChars="1000"/>
        <w:jc w:val="both"/>
        <w:rPr>
          <w:rFonts w:hint="eastAsia" w:ascii="黑体" w:hAnsi="黑体" w:eastAsia="黑体" w:cs="黑体"/>
          <w:sz w:val="48"/>
          <w:szCs w:val="48"/>
        </w:rPr>
      </w:pPr>
      <w:r>
        <w:rPr>
          <w:rFonts w:hint="eastAsia" w:ascii="黑体" w:hAnsi="黑体" w:eastAsia="黑体" w:cs="黑体"/>
          <w:sz w:val="48"/>
          <w:szCs w:val="48"/>
          <w:lang w:val="en-US" w:eastAsia="zh-CN"/>
        </w:rPr>
        <w:t xml:space="preserve">第一部分 </w:t>
      </w:r>
    </w:p>
    <w:p>
      <w:pPr>
        <w:widowControl/>
        <w:numPr>
          <w:ilvl w:val="0"/>
          <w:numId w:val="0"/>
        </w:numPr>
        <w:ind w:leftChars="-800" w:firstLine="2880" w:firstLineChars="600"/>
        <w:jc w:val="both"/>
        <w:rPr>
          <w:rFonts w:hint="eastAsia" w:ascii="黑体" w:hAnsi="黑体" w:eastAsia="黑体" w:cs="黑体"/>
          <w:sz w:val="48"/>
          <w:szCs w:val="48"/>
        </w:rPr>
      </w:pPr>
      <w:r>
        <w:rPr>
          <w:rFonts w:hint="eastAsia" w:ascii="黑体" w:hAnsi="黑体" w:eastAsia="黑体" w:cs="黑体"/>
          <w:sz w:val="48"/>
          <w:szCs w:val="48"/>
          <w:lang w:eastAsia="zh-CN"/>
        </w:rPr>
        <w:t>平顶山市新城区村镇办</w:t>
      </w:r>
      <w:r>
        <w:rPr>
          <w:rFonts w:hint="eastAsia" w:ascii="黑体" w:hAnsi="黑体" w:eastAsia="黑体" w:cs="黑体"/>
          <w:sz w:val="48"/>
          <w:szCs w:val="48"/>
        </w:rPr>
        <w:t>概况</w:t>
      </w:r>
    </w:p>
    <w:p>
      <w:pPr>
        <w:widowControl/>
        <w:numPr>
          <w:ilvl w:val="0"/>
          <w:numId w:val="0"/>
        </w:numPr>
        <w:jc w:val="both"/>
        <w:rPr>
          <w:rFonts w:hint="eastAsia" w:ascii="黑体" w:hAnsi="黑体" w:eastAsia="黑体" w:cs="黑体"/>
          <w:sz w:val="48"/>
          <w:szCs w:val="48"/>
          <w:lang w:eastAsia="zh-CN"/>
        </w:rPr>
        <w:sectPr>
          <w:footerReference r:id="rId3" w:type="default"/>
          <w:pgSz w:w="11906" w:h="16838"/>
          <w:pgMar w:top="1440" w:right="1800" w:bottom="1440" w:left="1800" w:header="720" w:footer="720" w:gutter="0"/>
          <w:pgNumType w:fmt="numberInDash"/>
          <w:cols w:space="720" w:num="1"/>
          <w:docGrid w:type="lines" w:linePitch="312" w:charSpace="0"/>
        </w:sectPr>
      </w:pPr>
    </w:p>
    <w:p>
      <w:pPr>
        <w:numPr>
          <w:ilvl w:val="0"/>
          <w:numId w:val="0"/>
        </w:numPr>
        <w:rPr>
          <w:rFonts w:hint="eastAsia" w:ascii="仿宋" w:hAnsi="仿宋" w:eastAsia="仿宋" w:cs="仿宋"/>
          <w:b/>
          <w:bCs/>
          <w:sz w:val="32"/>
          <w:szCs w:val="32"/>
          <w:lang w:eastAsia="zh-CN"/>
        </w:rPr>
      </w:pPr>
      <w:r>
        <w:rPr>
          <w:rFonts w:hint="eastAsia" w:eastAsia="仿宋"/>
          <w:b/>
          <w:bCs/>
          <w:color w:val="000000"/>
          <w:sz w:val="30"/>
          <w:szCs w:val="30"/>
          <w:lang w:eastAsia="zh-CN"/>
        </w:rPr>
        <w:t>一、平顶山市新城区村镇办</w:t>
      </w:r>
      <w:r>
        <w:rPr>
          <w:rFonts w:hint="eastAsia" w:ascii="仿宋" w:hAnsi="仿宋" w:eastAsia="仿宋" w:cs="仿宋"/>
          <w:b/>
          <w:bCs/>
          <w:sz w:val="32"/>
          <w:szCs w:val="32"/>
        </w:rPr>
        <w:t>主要职</w:t>
      </w:r>
      <w:r>
        <w:rPr>
          <w:rFonts w:hint="eastAsia" w:ascii="仿宋" w:hAnsi="仿宋" w:eastAsia="仿宋" w:cs="仿宋"/>
          <w:b/>
          <w:bCs/>
          <w:sz w:val="32"/>
          <w:szCs w:val="32"/>
          <w:lang w:eastAsia="zh-CN"/>
        </w:rPr>
        <w:t>能</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平顶山市新城区村镇办是新城区管委会工作部门，贯彻落实党中央关于村镇建设工作的方针政策和决策部署，在履行职责过程中坚持和加强党对村镇建设工作的集中统一领导。主要职责是：</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负责</w:t>
      </w:r>
      <w:r>
        <w:rPr>
          <w:rFonts w:hint="eastAsia" w:ascii="仿宋" w:hAnsi="仿宋" w:eastAsia="仿宋" w:cs="仿宋"/>
          <w:sz w:val="32"/>
          <w:szCs w:val="32"/>
          <w:lang w:eastAsia="zh-CN"/>
        </w:rPr>
        <w:t>新城区村镇规划建设工作；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2、负责</w:t>
      </w:r>
      <w:r>
        <w:rPr>
          <w:rFonts w:hint="eastAsia" w:ascii="仿宋" w:hAnsi="仿宋" w:eastAsia="仿宋" w:cs="仿宋"/>
          <w:sz w:val="32"/>
          <w:szCs w:val="32"/>
          <w:lang w:eastAsia="zh-CN"/>
        </w:rPr>
        <w:t>美丽乡村规划建设工作；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3、负责</w:t>
      </w:r>
      <w:r>
        <w:rPr>
          <w:rFonts w:hint="eastAsia" w:ascii="仿宋" w:hAnsi="仿宋" w:eastAsia="仿宋" w:cs="仿宋"/>
          <w:sz w:val="32"/>
          <w:szCs w:val="32"/>
          <w:lang w:eastAsia="zh-CN"/>
        </w:rPr>
        <w:t>小城镇规划建设工作；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4、负责</w:t>
      </w:r>
      <w:r>
        <w:rPr>
          <w:rFonts w:hint="eastAsia" w:ascii="仿宋" w:hAnsi="仿宋" w:eastAsia="仿宋" w:cs="仿宋"/>
          <w:sz w:val="32"/>
          <w:szCs w:val="32"/>
          <w:lang w:eastAsia="zh-CN"/>
        </w:rPr>
        <w:t>乡村环境整治工作、保洁等方面工作；</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承办新城区党工委、管委会交办的其他事项；</w:t>
      </w:r>
    </w:p>
    <w:p>
      <w:pPr>
        <w:ind w:firstLine="600" w:firstLineChars="200"/>
        <w:rPr>
          <w:rFonts w:hint="eastAsia" w:ascii="仿宋" w:hAnsi="仿宋" w:eastAsia="仿宋" w:cs="仿宋"/>
          <w:b/>
          <w:bCs/>
          <w:sz w:val="30"/>
          <w:szCs w:val="30"/>
          <w:lang w:eastAsia="zh-CN"/>
        </w:rPr>
      </w:pPr>
      <w:r>
        <w:rPr>
          <w:rFonts w:hint="eastAsia"/>
          <w:sz w:val="30"/>
          <w:szCs w:val="30"/>
        </w:rPr>
        <w:t>二、</w:t>
      </w:r>
      <w:r>
        <w:rPr>
          <w:rFonts w:hint="eastAsia" w:ascii="仿宋" w:hAnsi="仿宋" w:eastAsia="仿宋" w:cs="仿宋"/>
          <w:b/>
          <w:bCs/>
          <w:color w:val="000000"/>
          <w:sz w:val="30"/>
          <w:szCs w:val="30"/>
          <w:lang w:eastAsia="zh-CN"/>
        </w:rPr>
        <w:t>平顶山市新城区村镇办</w:t>
      </w:r>
      <w:r>
        <w:rPr>
          <w:rFonts w:hint="eastAsia" w:ascii="仿宋" w:hAnsi="仿宋" w:eastAsia="仿宋" w:cs="仿宋"/>
          <w:b/>
          <w:bCs/>
          <w:sz w:val="30"/>
          <w:szCs w:val="30"/>
          <w:lang w:eastAsia="zh-CN"/>
        </w:rPr>
        <w:t>预算单位构成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2019年部门预算为本级预算无所属单位。</w:t>
      </w:r>
    </w:p>
    <w:p/>
    <w:p/>
    <w:p/>
    <w:p/>
    <w:p/>
    <w:p/>
    <w:p/>
    <w:p/>
    <w:p/>
    <w:p/>
    <w:p/>
    <w:p/>
    <w:p/>
    <w:p/>
    <w:p/>
    <w:p/>
    <w:p/>
    <w:p>
      <w:pPr>
        <w:ind w:firstLine="6240" w:firstLineChars="1300"/>
        <w:jc w:val="both"/>
        <w:rPr>
          <w:rFonts w:hint="eastAsia" w:ascii="黑体" w:hAnsi="黑体" w:eastAsia="黑体" w:cs="黑体"/>
          <w:sz w:val="48"/>
          <w:szCs w:val="48"/>
        </w:rPr>
      </w:pPr>
    </w:p>
    <w:p>
      <w:pPr>
        <w:ind w:firstLine="6240" w:firstLineChars="1300"/>
        <w:jc w:val="both"/>
        <w:rPr>
          <w:rFonts w:hint="eastAsia" w:ascii="黑体" w:hAnsi="黑体" w:eastAsia="黑体" w:cs="黑体"/>
          <w:sz w:val="48"/>
          <w:szCs w:val="48"/>
        </w:rPr>
      </w:pPr>
    </w:p>
    <w:p>
      <w:pPr>
        <w:ind w:firstLine="6240" w:firstLineChars="1300"/>
        <w:jc w:val="both"/>
        <w:rPr>
          <w:rFonts w:hint="eastAsia" w:ascii="黑体" w:hAnsi="黑体" w:eastAsia="黑体" w:cs="黑体"/>
          <w:sz w:val="48"/>
          <w:szCs w:val="48"/>
        </w:rPr>
      </w:pPr>
    </w:p>
    <w:p>
      <w:pPr>
        <w:ind w:firstLine="6240" w:firstLineChars="1300"/>
        <w:jc w:val="both"/>
        <w:rPr>
          <w:rFonts w:hint="eastAsia" w:ascii="黑体" w:hAnsi="黑体" w:eastAsia="黑体" w:cs="黑体"/>
          <w:sz w:val="48"/>
          <w:szCs w:val="48"/>
        </w:rPr>
      </w:pPr>
    </w:p>
    <w:p>
      <w:pPr>
        <w:ind w:firstLine="2880" w:firstLineChars="600"/>
        <w:jc w:val="both"/>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rPr>
        <w:t>平顶山市新城区</w:t>
      </w:r>
      <w:r>
        <w:rPr>
          <w:rFonts w:hint="eastAsia" w:ascii="黑体" w:hAnsi="黑体" w:eastAsia="黑体" w:cs="黑体"/>
          <w:sz w:val="48"/>
          <w:szCs w:val="48"/>
          <w:lang w:eastAsia="zh-CN"/>
        </w:rPr>
        <w:t>村镇办</w:t>
      </w:r>
      <w:r>
        <w:rPr>
          <w:rFonts w:hint="eastAsia" w:ascii="黑体" w:hAnsi="黑体" w:eastAsia="黑体" w:cs="黑体"/>
          <w:sz w:val="48"/>
          <w:szCs w:val="48"/>
        </w:rPr>
        <w:t>201</w:t>
      </w:r>
      <w:r>
        <w:rPr>
          <w:rFonts w:hint="eastAsia" w:ascii="黑体" w:hAnsi="黑体" w:eastAsia="黑体" w:cs="黑体"/>
          <w:sz w:val="48"/>
          <w:szCs w:val="48"/>
          <w:lang w:val="en-US" w:eastAsia="zh-CN"/>
        </w:rPr>
        <w:t>9</w:t>
      </w:r>
      <w:r>
        <w:rPr>
          <w:rFonts w:hint="eastAsia" w:ascii="黑体" w:hAnsi="黑体" w:eastAsia="黑体" w:cs="黑体"/>
          <w:sz w:val="48"/>
          <w:szCs w:val="48"/>
        </w:rPr>
        <w:t>年度部门</w:t>
      </w:r>
    </w:p>
    <w:p>
      <w:pPr>
        <w:jc w:val="cente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48"/>
          <w:szCs w:val="48"/>
          <w:lang w:eastAsia="zh-CN"/>
        </w:rPr>
        <w:t>预算情况说明</w:t>
      </w:r>
    </w:p>
    <w:p>
      <w:pPr>
        <w:widowControl/>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一、收入支出预算总体情况说明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2019年收、支总计均为</w:t>
      </w:r>
      <w:r>
        <w:rPr>
          <w:rFonts w:hint="eastAsia" w:ascii="仿宋_GB2312" w:hAnsi="仿宋_GB2312" w:eastAsia="仿宋_GB2312" w:cs="仿宋_GB2312"/>
          <w:sz w:val="32"/>
          <w:szCs w:val="32"/>
          <w:lang w:val="en-US" w:eastAsia="zh-CN"/>
        </w:rPr>
        <w:t>79.21万</w:t>
      </w:r>
      <w:r>
        <w:rPr>
          <w:rFonts w:hint="eastAsia" w:ascii="仿宋_GB2312" w:hAnsi="仿宋_GB2312" w:eastAsia="仿宋_GB2312" w:cs="仿宋_GB2312"/>
          <w:sz w:val="32"/>
          <w:szCs w:val="32"/>
        </w:rPr>
        <w:t>元。与</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相比，收、支总计各减少</w:t>
      </w:r>
      <w:r>
        <w:rPr>
          <w:rFonts w:hint="eastAsia" w:ascii="仿宋_GB2312" w:hAnsi="仿宋_GB2312" w:eastAsia="仿宋_GB2312" w:cs="仿宋_GB2312"/>
          <w:sz w:val="32"/>
          <w:szCs w:val="32"/>
          <w:lang w:val="en-US" w:eastAsia="zh-CN"/>
        </w:rPr>
        <w:t>516.82万</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lang w:eastAsia="zh-CN"/>
        </w:rPr>
        <w:t>历行节约，压缩支出，项目支出较上年有所减少</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二、收入预算情况说明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年收入合计</w:t>
      </w:r>
      <w:r>
        <w:rPr>
          <w:rFonts w:hint="eastAsia" w:ascii="仿宋_GB2312" w:hAnsi="仿宋_GB2312" w:eastAsia="仿宋_GB2312" w:cs="仿宋_GB2312"/>
          <w:sz w:val="32"/>
          <w:szCs w:val="32"/>
          <w:lang w:val="en-US" w:eastAsia="zh-CN"/>
        </w:rPr>
        <w:t>79.21万</w:t>
      </w:r>
      <w:r>
        <w:rPr>
          <w:rFonts w:hint="eastAsia" w:ascii="仿宋_GB2312" w:hAnsi="仿宋_GB2312" w:eastAsia="仿宋_GB2312" w:cs="仿宋_GB2312"/>
          <w:sz w:val="32"/>
          <w:szCs w:val="32"/>
        </w:rPr>
        <w:t>元，其中：</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lang w:val="en-US" w:eastAsia="zh-CN"/>
        </w:rPr>
        <w:t>79.21万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lang w:val="en-US" w:eastAsia="zh-CN"/>
        </w:rPr>
        <w:t>0.0万元，专户管理的教育收费0.0万元</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三、支出预算</w:t>
      </w:r>
      <w:r>
        <w:rPr>
          <w:rFonts w:hint="eastAsia" w:ascii="黑体" w:hAnsi="黑体" w:eastAsia="黑体" w:cs="黑体"/>
          <w:sz w:val="32"/>
          <w:szCs w:val="32"/>
          <w:lang w:eastAsia="zh-CN"/>
        </w:rPr>
        <w:t>总体</w:t>
      </w:r>
      <w:r>
        <w:rPr>
          <w:rFonts w:hint="eastAsia" w:ascii="黑体" w:hAnsi="黑体" w:eastAsia="黑体" w:cs="黑体"/>
          <w:sz w:val="32"/>
          <w:szCs w:val="32"/>
        </w:rPr>
        <w:t>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79.21</w:t>
      </w:r>
      <w:r>
        <w:rPr>
          <w:rFonts w:hint="eastAsia" w:ascii="仿宋_GB2312" w:hAnsi="仿宋_GB2312" w:eastAsia="仿宋_GB2312" w:cs="仿宋_GB2312"/>
          <w:sz w:val="32"/>
          <w:szCs w:val="32"/>
        </w:rPr>
        <w:t>元，其中：基本支出</w:t>
      </w:r>
      <w:r>
        <w:rPr>
          <w:rFonts w:hint="eastAsia" w:ascii="仿宋_GB2312" w:hAnsi="仿宋_GB2312" w:eastAsia="仿宋_GB2312" w:cs="仿宋_GB2312"/>
          <w:sz w:val="32"/>
          <w:szCs w:val="32"/>
          <w:lang w:val="en-US" w:eastAsia="zh-CN"/>
        </w:rPr>
        <w:t>59.12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20.10万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25%。</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四、财政拨款收入支出预算总体情况说明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lang w:eastAsia="zh-CN"/>
        </w:rPr>
        <w:t>支预算</w:t>
      </w:r>
      <w:r>
        <w:rPr>
          <w:rFonts w:hint="eastAsia" w:ascii="仿宋_GB2312" w:hAnsi="仿宋_GB2312" w:eastAsia="仿宋_GB2312" w:cs="仿宋_GB2312"/>
          <w:sz w:val="32"/>
          <w:szCs w:val="32"/>
          <w:lang w:val="en-US" w:eastAsia="zh-CN"/>
        </w:rPr>
        <w:t>79.21万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与上年相比，一般公共预算收支预算减少</w:t>
      </w:r>
      <w:r>
        <w:rPr>
          <w:rFonts w:hint="eastAsia" w:ascii="仿宋_GB2312" w:hAnsi="仿宋_GB2312" w:eastAsia="仿宋_GB2312" w:cs="仿宋_GB2312"/>
          <w:sz w:val="32"/>
          <w:szCs w:val="32"/>
          <w:lang w:val="en-US" w:eastAsia="zh-CN"/>
        </w:rPr>
        <w:t>516.82万元，下降65%，主要原因：厉行节约，压缩支出。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五、一般公共预算支出</w:t>
      </w:r>
      <w:r>
        <w:rPr>
          <w:rFonts w:hint="eastAsia" w:ascii="黑体" w:hAnsi="黑体" w:eastAsia="黑体" w:cs="黑体"/>
          <w:sz w:val="32"/>
          <w:szCs w:val="32"/>
          <w:lang w:eastAsia="zh-CN"/>
        </w:rPr>
        <w:t>预</w:t>
      </w:r>
      <w:r>
        <w:rPr>
          <w:rFonts w:hint="eastAsia" w:ascii="黑体" w:hAnsi="黑体" w:eastAsia="黑体" w:cs="黑体"/>
          <w:sz w:val="32"/>
          <w:szCs w:val="32"/>
        </w:rPr>
        <w:t>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w:t>
      </w:r>
      <w:r>
        <w:rPr>
          <w:rFonts w:hint="eastAsia" w:ascii="仿宋_GB2312" w:hAnsi="仿宋_GB2312" w:eastAsia="仿宋_GB2312" w:cs="仿宋_GB2312"/>
          <w:sz w:val="32"/>
          <w:szCs w:val="32"/>
          <w:lang w:eastAsia="zh-CN"/>
        </w:rPr>
        <w:t>支出年初预算为</w:t>
      </w:r>
      <w:r>
        <w:rPr>
          <w:rFonts w:hint="eastAsia" w:ascii="仿宋_GB2312" w:hAnsi="仿宋_GB2312" w:eastAsia="仿宋_GB2312" w:cs="仿宋_GB2312"/>
          <w:sz w:val="32"/>
          <w:szCs w:val="32"/>
          <w:lang w:val="en-US" w:eastAsia="zh-CN"/>
        </w:rPr>
        <w:t>59.12万元，主要用于以下方面：社会保障和就业（类）支出6.19万元，占3%，卫生健康（类）支出3.03万元，占4%，住房保障（类）支出2.65万元，占3%。</w:t>
      </w:r>
    </w:p>
    <w:p>
      <w:pPr>
        <w:widowControl/>
        <w:numPr>
          <w:ilvl w:val="0"/>
          <w:numId w:val="2"/>
        </w:num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支出预算经济分类</w:t>
      </w:r>
      <w:r>
        <w:rPr>
          <w:rFonts w:hint="eastAsia" w:ascii="黑体" w:hAnsi="黑体" w:eastAsia="黑体" w:cs="黑体"/>
          <w:sz w:val="32"/>
          <w:szCs w:val="32"/>
        </w:rPr>
        <w:t>情况说明</w:t>
      </w:r>
    </w:p>
    <w:p>
      <w:pPr>
        <w:widowControl/>
        <w:numPr>
          <w:ilvl w:val="0"/>
          <w:numId w:val="0"/>
        </w:numPr>
        <w:spacing w:line="590" w:lineRule="exact"/>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eastAsia="zh-CN"/>
        </w:rPr>
        <w:t>按照《财政部关于印发（支了经济分类科目改革方案）的通知》（财预【</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98号</w:t>
      </w:r>
      <w:r>
        <w:rPr>
          <w:rFonts w:hint="eastAsia" w:ascii="仿宋" w:hAnsi="仿宋" w:eastAsia="仿宋" w:cs="仿宋"/>
          <w:sz w:val="32"/>
          <w:szCs w:val="32"/>
          <w:lang w:eastAsia="zh-CN"/>
        </w:rPr>
        <w:t>）要求，从</w:t>
      </w:r>
      <w:r>
        <w:rPr>
          <w:rFonts w:hint="eastAsia" w:ascii="仿宋" w:hAnsi="仿宋" w:eastAsia="仿宋" w:cs="仿宋"/>
          <w:sz w:val="32"/>
          <w:szCs w:val="32"/>
          <w:lang w:val="en-US" w:eastAsia="zh-CN"/>
        </w:rPr>
        <w:t>2018年起全面实施支出经济分类科目改革，根据政府预算管理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widowControl/>
        <w:numPr>
          <w:ilvl w:val="0"/>
          <w:numId w:val="2"/>
        </w:numPr>
        <w:spacing w:line="59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政府性基金预算支出情况说明</w:t>
      </w:r>
    </w:p>
    <w:p>
      <w:pPr>
        <w:widowControl/>
        <w:numPr>
          <w:ilvl w:val="0"/>
          <w:numId w:val="0"/>
        </w:numPr>
        <w:spacing w:line="590" w:lineRule="exact"/>
        <w:ind w:leftChars="200"/>
        <w:rPr>
          <w:rFonts w:hint="eastAsia" w:ascii="黑体" w:hAnsi="黑体" w:eastAsia="黑体" w:cs="黑体"/>
          <w:sz w:val="32"/>
          <w:szCs w:val="32"/>
          <w:lang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年无使用政府性基金预算拨款安排的支出。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“三公”经费支出决算情况说明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2019年</w:t>
      </w:r>
      <w:r>
        <w:rPr>
          <w:rFonts w:hint="eastAsia" w:ascii="楷体_GB2312" w:hAnsi="楷体_GB2312" w:eastAsia="楷体_GB2312" w:cs="楷体_GB2312"/>
          <w:sz w:val="32"/>
          <w:szCs w:val="32"/>
        </w:rPr>
        <w:t>“三公”经费</w:t>
      </w:r>
      <w:r>
        <w:rPr>
          <w:rFonts w:hint="eastAsia" w:ascii="楷体_GB2312" w:hAnsi="楷体_GB2312" w:eastAsia="楷体_GB2312" w:cs="楷体_GB2312"/>
          <w:sz w:val="32"/>
          <w:szCs w:val="32"/>
          <w:lang w:eastAsia="zh-CN"/>
        </w:rPr>
        <w:t>预算</w:t>
      </w:r>
      <w:r>
        <w:rPr>
          <w:rFonts w:hint="eastAsia" w:ascii="楷体_GB2312" w:hAnsi="楷体_GB2312" w:eastAsia="楷体_GB2312" w:cs="楷体_GB2312"/>
          <w:sz w:val="32"/>
          <w:szCs w:val="32"/>
          <w:lang w:val="en-US" w:eastAsia="zh-CN"/>
        </w:rPr>
        <w:t>0.001万元</w:t>
      </w:r>
      <w:r>
        <w:rPr>
          <w:rFonts w:hint="eastAsia" w:ascii="楷体_GB2312" w:hAnsi="楷体_GB2312" w:eastAsia="楷体_GB2312" w:cs="楷体_GB2312"/>
          <w:sz w:val="32"/>
          <w:szCs w:val="32"/>
        </w:rPr>
        <w:t>。</w:t>
      </w:r>
    </w:p>
    <w:p>
      <w:pPr>
        <w:widowControl/>
        <w:shd w:val="clear" w:color="auto" w:fill="FFFFFF"/>
        <w:spacing w:line="375" w:lineRule="atLeast"/>
        <w:ind w:firstLine="640" w:firstLineChars="200"/>
        <w:jc w:val="left"/>
        <w:rPr>
          <w:rFonts w:ascii="仿宋" w:hAnsi="仿宋" w:eastAsia="仿宋" w:cs="Arial"/>
          <w:kern w:val="0"/>
          <w:sz w:val="32"/>
          <w:szCs w:val="32"/>
        </w:rPr>
      </w:pPr>
      <w:r>
        <w:rPr>
          <w:rFonts w:hint="eastAsia" w:ascii="仿宋" w:hAnsi="仿宋" w:eastAsia="仿宋" w:cs="Arial"/>
          <w:color w:val="000000"/>
          <w:kern w:val="0"/>
          <w:sz w:val="32"/>
          <w:szCs w:val="32"/>
          <w:shd w:val="clear" w:color="auto" w:fill="FFFFFF"/>
        </w:rPr>
        <w:t>具体支出情况如下</w:t>
      </w:r>
      <w:r>
        <w:rPr>
          <w:rFonts w:ascii="仿宋" w:hAnsi="仿宋" w:eastAsia="仿宋" w:cs="Arial"/>
          <w:color w:val="000000"/>
          <w:kern w:val="0"/>
          <w:sz w:val="32"/>
          <w:szCs w:val="32"/>
          <w:shd w:val="clear" w:color="auto" w:fill="FFFFFF"/>
        </w:rPr>
        <w:t>：</w:t>
      </w:r>
    </w:p>
    <w:p>
      <w:pPr>
        <w:autoSpaceDE w:val="0"/>
        <w:autoSpaceDN w:val="0"/>
        <w:adjustRightInd w:val="0"/>
        <w:ind w:firstLine="640"/>
        <w:jc w:val="left"/>
        <w:rPr>
          <w:rFonts w:hint="eastAsia" w:ascii="仿宋_GB2312" w:eastAsia="仿宋_GB2312" w:cs="仿宋"/>
          <w:sz w:val="32"/>
          <w:szCs w:val="32"/>
        </w:rPr>
      </w:pPr>
      <w:r>
        <w:rPr>
          <w:rFonts w:ascii="仿宋" w:hAnsi="仿宋" w:eastAsia="仿宋" w:cs="Arial"/>
          <w:b/>
          <w:bCs/>
          <w:color w:val="000000"/>
          <w:kern w:val="0"/>
          <w:sz w:val="32"/>
          <w:szCs w:val="32"/>
          <w:shd w:val="clear" w:color="auto" w:fill="FFFFFF"/>
        </w:rPr>
        <w:t>（一）因公出国（境）费</w:t>
      </w:r>
      <w:r>
        <w:rPr>
          <w:rFonts w:hint="eastAsia" w:ascii="仿宋" w:hAnsi="仿宋" w:eastAsia="仿宋" w:cs="Arial"/>
          <w:color w:val="000000"/>
          <w:kern w:val="0"/>
          <w:sz w:val="32"/>
          <w:szCs w:val="32"/>
          <w:shd w:val="clear" w:color="auto" w:fill="FFFFFF"/>
        </w:rPr>
        <w:t>0.0</w:t>
      </w:r>
      <w:r>
        <w:rPr>
          <w:rFonts w:ascii="仿宋" w:hAnsi="仿宋" w:eastAsia="仿宋" w:cs="Arial"/>
          <w:b/>
          <w:bCs/>
          <w:color w:val="000000"/>
          <w:kern w:val="0"/>
          <w:sz w:val="32"/>
          <w:szCs w:val="32"/>
          <w:shd w:val="clear" w:color="auto" w:fill="FFFFFF"/>
        </w:rPr>
        <w:t>万元</w:t>
      </w:r>
      <w:r>
        <w:rPr>
          <w:rFonts w:ascii="仿宋" w:hAnsi="仿宋" w:eastAsia="仿宋" w:cs="Arial"/>
          <w:color w:val="000000"/>
          <w:kern w:val="0"/>
          <w:sz w:val="32"/>
          <w:szCs w:val="32"/>
          <w:shd w:val="clear" w:color="auto" w:fill="FFFFFF"/>
        </w:rPr>
        <w:t>，</w:t>
      </w:r>
      <w:r>
        <w:rPr>
          <w:rFonts w:hint="eastAsia" w:ascii="仿宋" w:hAnsi="仿宋" w:eastAsia="仿宋" w:cs="Arial"/>
          <w:color w:val="000000"/>
          <w:kern w:val="0"/>
          <w:sz w:val="32"/>
          <w:szCs w:val="32"/>
          <w:shd w:val="clear" w:color="auto" w:fill="FFFFFF"/>
        </w:rPr>
        <w:t>与</w:t>
      </w:r>
      <w:r>
        <w:rPr>
          <w:rFonts w:hint="eastAsia" w:ascii="仿宋" w:hAnsi="仿宋" w:eastAsia="仿宋" w:cs="Arial"/>
          <w:color w:val="000000"/>
          <w:kern w:val="0"/>
          <w:sz w:val="32"/>
          <w:szCs w:val="32"/>
          <w:shd w:val="clear" w:color="auto" w:fill="FFFFFF"/>
          <w:lang w:val="en-US" w:eastAsia="zh-CN"/>
        </w:rPr>
        <w:t>2018</w:t>
      </w:r>
      <w:r>
        <w:rPr>
          <w:rFonts w:hint="eastAsia" w:ascii="仿宋" w:hAnsi="仿宋" w:eastAsia="仿宋" w:cs="Arial"/>
          <w:color w:val="000000"/>
          <w:kern w:val="0"/>
          <w:sz w:val="32"/>
          <w:szCs w:val="32"/>
          <w:shd w:val="clear" w:color="auto" w:fill="FFFFFF"/>
        </w:rPr>
        <w:t>年保持一致，</w:t>
      </w:r>
      <w:r>
        <w:rPr>
          <w:rFonts w:ascii="仿宋" w:hAnsi="仿宋" w:eastAsia="仿宋" w:cs="Arial"/>
          <w:color w:val="000000"/>
          <w:kern w:val="0"/>
          <w:sz w:val="32"/>
          <w:szCs w:val="32"/>
          <w:shd w:val="clear" w:color="auto" w:fill="FFFFFF"/>
        </w:rPr>
        <w:t>主要原因是</w:t>
      </w:r>
      <w:r>
        <w:rPr>
          <w:rFonts w:hint="eastAsia" w:ascii="仿宋" w:hAnsi="仿宋" w:eastAsia="仿宋" w:cs="Arial"/>
          <w:color w:val="000000"/>
          <w:kern w:val="0"/>
          <w:sz w:val="32"/>
          <w:szCs w:val="32"/>
          <w:shd w:val="clear" w:color="auto" w:fill="FFFFFF"/>
        </w:rPr>
        <w:t>无因公出国（</w:t>
      </w:r>
      <w:r>
        <w:rPr>
          <w:rFonts w:ascii="仿宋" w:hAnsi="仿宋" w:eastAsia="仿宋" w:cs="Arial"/>
          <w:color w:val="000000"/>
          <w:kern w:val="0"/>
          <w:sz w:val="32"/>
          <w:szCs w:val="32"/>
          <w:shd w:val="clear" w:color="auto" w:fill="FFFFFF"/>
        </w:rPr>
        <w:t>境</w:t>
      </w:r>
      <w:r>
        <w:rPr>
          <w:rFonts w:hint="eastAsia" w:ascii="仿宋" w:hAnsi="仿宋" w:eastAsia="仿宋" w:cs="Arial"/>
          <w:color w:val="000000"/>
          <w:kern w:val="0"/>
          <w:sz w:val="32"/>
          <w:szCs w:val="32"/>
          <w:shd w:val="clear" w:color="auto" w:fill="FFFFFF"/>
        </w:rPr>
        <w:t>）计划。</w:t>
      </w:r>
    </w:p>
    <w:p>
      <w:pPr>
        <w:widowControl/>
        <w:spacing w:line="590" w:lineRule="exact"/>
        <w:ind w:firstLine="643" w:firstLineChars="200"/>
        <w:rPr>
          <w:rFonts w:hint="eastAsia" w:ascii="仿宋" w:hAnsi="仿宋" w:eastAsia="仿宋" w:cs="Arial"/>
          <w:kern w:val="0"/>
          <w:sz w:val="32"/>
          <w:szCs w:val="32"/>
        </w:rPr>
      </w:pPr>
      <w:r>
        <w:rPr>
          <w:rFonts w:ascii="仿宋" w:hAnsi="仿宋" w:eastAsia="仿宋" w:cs="Arial"/>
          <w:b/>
          <w:bCs/>
          <w:color w:val="000000"/>
          <w:kern w:val="0"/>
          <w:sz w:val="32"/>
          <w:szCs w:val="32"/>
          <w:shd w:val="clear" w:color="auto" w:fill="FFFFFF"/>
        </w:rPr>
        <w:t>（二）公务用车</w:t>
      </w:r>
      <w:r>
        <w:rPr>
          <w:rFonts w:hint="eastAsia" w:ascii="仿宋" w:hAnsi="仿宋" w:eastAsia="仿宋" w:cs="Arial"/>
          <w:b/>
          <w:bCs/>
          <w:color w:val="000000"/>
          <w:kern w:val="0"/>
          <w:sz w:val="32"/>
          <w:szCs w:val="32"/>
          <w:shd w:val="clear" w:color="auto" w:fill="FFFFFF"/>
        </w:rPr>
        <w:t>购置及</w:t>
      </w:r>
      <w:r>
        <w:rPr>
          <w:rFonts w:ascii="仿宋" w:hAnsi="仿宋" w:eastAsia="仿宋" w:cs="Arial"/>
          <w:b/>
          <w:bCs/>
          <w:color w:val="000000"/>
          <w:kern w:val="0"/>
          <w:sz w:val="32"/>
          <w:szCs w:val="32"/>
          <w:shd w:val="clear" w:color="auto" w:fill="FFFFFF"/>
        </w:rPr>
        <w:t>运行费</w:t>
      </w:r>
      <w:r>
        <w:rPr>
          <w:rFonts w:hint="eastAsia" w:ascii="仿宋" w:hAnsi="仿宋" w:eastAsia="仿宋" w:cs="Arial"/>
          <w:b/>
          <w:bCs/>
          <w:color w:val="000000"/>
          <w:kern w:val="0"/>
          <w:sz w:val="32"/>
          <w:szCs w:val="32"/>
          <w:shd w:val="clear" w:color="auto" w:fill="FFFFFF"/>
        </w:rPr>
        <w:t>0.0</w:t>
      </w:r>
      <w:r>
        <w:rPr>
          <w:rFonts w:ascii="仿宋" w:hAnsi="仿宋" w:eastAsia="仿宋" w:cs="Arial"/>
          <w:b/>
          <w:bCs/>
          <w:color w:val="000000"/>
          <w:kern w:val="0"/>
          <w:sz w:val="32"/>
          <w:szCs w:val="32"/>
          <w:shd w:val="clear" w:color="auto" w:fill="FFFFFF"/>
        </w:rPr>
        <w:t>万元</w:t>
      </w:r>
      <w:r>
        <w:rPr>
          <w:rFonts w:ascii="仿宋" w:hAnsi="仿宋" w:eastAsia="仿宋" w:cs="Arial"/>
          <w:color w:val="000000"/>
          <w:kern w:val="0"/>
          <w:sz w:val="32"/>
          <w:szCs w:val="32"/>
          <w:shd w:val="clear" w:color="auto" w:fill="FFFFFF"/>
        </w:rPr>
        <w:t>，</w:t>
      </w:r>
      <w:r>
        <w:rPr>
          <w:rFonts w:hint="eastAsia" w:ascii="仿宋" w:hAnsi="仿宋" w:eastAsia="仿宋" w:cs="Arial"/>
          <w:color w:val="000000"/>
          <w:kern w:val="0"/>
          <w:sz w:val="32"/>
          <w:szCs w:val="32"/>
          <w:shd w:val="clear" w:color="auto" w:fill="FFFFFF"/>
        </w:rPr>
        <w:t>其中，无公务用车购置费0.0万元；公务用车运行维护费0.0万元</w:t>
      </w:r>
      <w:r>
        <w:rPr>
          <w:rFonts w:ascii="仿宋" w:hAnsi="仿宋" w:eastAsia="仿宋" w:cs="Arial"/>
          <w:kern w:val="0"/>
          <w:sz w:val="32"/>
          <w:szCs w:val="32"/>
          <w:shd w:val="clear" w:color="auto" w:fill="FFFFFF"/>
        </w:rPr>
        <w:t>。</w:t>
      </w:r>
      <w:r>
        <w:rPr>
          <w:rFonts w:ascii="仿宋" w:hAnsi="仿宋" w:eastAsia="仿宋" w:cs="Arial"/>
          <w:color w:val="000000"/>
          <w:kern w:val="0"/>
          <w:sz w:val="32"/>
          <w:szCs w:val="32"/>
          <w:shd w:val="clear" w:color="auto" w:fill="FFFFFF"/>
        </w:rPr>
        <w:t>主要用于</w:t>
      </w:r>
      <w:r>
        <w:rPr>
          <w:rFonts w:hint="eastAsia" w:ascii="仿宋" w:hAnsi="仿宋" w:eastAsia="仿宋" w:cs="Arial"/>
          <w:color w:val="000000"/>
          <w:kern w:val="0"/>
          <w:sz w:val="32"/>
          <w:szCs w:val="32"/>
          <w:shd w:val="clear" w:color="auto" w:fill="FFFFFF"/>
        </w:rPr>
        <w:t>开展工作所需</w:t>
      </w:r>
      <w:r>
        <w:rPr>
          <w:rFonts w:ascii="仿宋" w:hAnsi="仿宋" w:eastAsia="仿宋" w:cs="Arial"/>
          <w:color w:val="000000"/>
          <w:kern w:val="0"/>
          <w:sz w:val="32"/>
          <w:szCs w:val="32"/>
          <w:shd w:val="clear" w:color="auto" w:fill="FFFFFF"/>
        </w:rPr>
        <w:t>公务</w:t>
      </w:r>
      <w:r>
        <w:rPr>
          <w:rFonts w:hint="eastAsia" w:ascii="仿宋" w:hAnsi="仿宋" w:eastAsia="仿宋" w:cs="Arial"/>
          <w:color w:val="000000"/>
          <w:kern w:val="0"/>
          <w:sz w:val="32"/>
          <w:szCs w:val="32"/>
          <w:shd w:val="clear" w:color="auto" w:fill="FFFFFF"/>
        </w:rPr>
        <w:t>用车</w:t>
      </w:r>
      <w:r>
        <w:rPr>
          <w:rFonts w:ascii="仿宋" w:hAnsi="仿宋" w:eastAsia="仿宋" w:cs="Arial"/>
          <w:color w:val="000000"/>
          <w:kern w:val="0"/>
          <w:sz w:val="32"/>
          <w:szCs w:val="32"/>
          <w:shd w:val="clear" w:color="auto" w:fill="FFFFFF"/>
        </w:rPr>
        <w:t>的燃料费、维修费、</w:t>
      </w:r>
      <w:r>
        <w:rPr>
          <w:rFonts w:hint="eastAsia" w:ascii="仿宋" w:hAnsi="仿宋" w:eastAsia="仿宋" w:cs="Arial"/>
          <w:color w:val="000000"/>
          <w:kern w:val="0"/>
          <w:sz w:val="32"/>
          <w:szCs w:val="32"/>
          <w:shd w:val="clear" w:color="auto" w:fill="FFFFFF"/>
        </w:rPr>
        <w:t>过路过桥费、</w:t>
      </w:r>
      <w:r>
        <w:rPr>
          <w:rFonts w:ascii="仿宋" w:hAnsi="仿宋" w:eastAsia="仿宋" w:cs="Arial"/>
          <w:color w:val="000000"/>
          <w:kern w:val="0"/>
          <w:sz w:val="32"/>
          <w:szCs w:val="32"/>
          <w:shd w:val="clear" w:color="auto" w:fill="FFFFFF"/>
        </w:rPr>
        <w:t>保险费等支出；</w:t>
      </w:r>
      <w:r>
        <w:rPr>
          <w:rFonts w:hint="eastAsia" w:ascii="仿宋" w:hAnsi="仿宋" w:eastAsia="仿宋" w:cs="Arial"/>
          <w:color w:val="000000"/>
          <w:kern w:val="0"/>
          <w:sz w:val="32"/>
          <w:szCs w:val="32"/>
          <w:shd w:val="clear" w:color="auto" w:fill="FFFFFF"/>
        </w:rPr>
        <w:t>主要原因是20</w:t>
      </w:r>
      <w:r>
        <w:rPr>
          <w:rFonts w:hint="eastAsia" w:ascii="仿宋" w:hAnsi="仿宋" w:eastAsia="仿宋" w:cs="Arial"/>
          <w:color w:val="000000"/>
          <w:kern w:val="0"/>
          <w:sz w:val="32"/>
          <w:szCs w:val="32"/>
          <w:shd w:val="clear" w:color="auto" w:fill="FFFFFF"/>
          <w:lang w:val="en-US" w:eastAsia="zh-CN"/>
        </w:rPr>
        <w:t>19</w:t>
      </w:r>
      <w:r>
        <w:rPr>
          <w:rFonts w:hint="eastAsia" w:ascii="仿宋" w:hAnsi="仿宋" w:eastAsia="仿宋" w:cs="Arial"/>
          <w:color w:val="000000"/>
          <w:kern w:val="0"/>
          <w:sz w:val="32"/>
          <w:szCs w:val="32"/>
          <w:shd w:val="clear" w:color="auto" w:fill="FFFFFF"/>
        </w:rPr>
        <w:t>年无公车购置计划；公务用车运维费预算数与20</w:t>
      </w:r>
      <w:r>
        <w:rPr>
          <w:rFonts w:hint="eastAsia" w:ascii="仿宋" w:hAnsi="仿宋" w:eastAsia="仿宋" w:cs="Arial"/>
          <w:color w:val="000000"/>
          <w:kern w:val="0"/>
          <w:sz w:val="32"/>
          <w:szCs w:val="32"/>
          <w:shd w:val="clear" w:color="auto" w:fill="FFFFFF"/>
          <w:lang w:val="en-US" w:eastAsia="zh-CN"/>
        </w:rPr>
        <w:t>18</w:t>
      </w:r>
      <w:r>
        <w:rPr>
          <w:rFonts w:hint="eastAsia" w:ascii="仿宋" w:hAnsi="仿宋" w:eastAsia="仿宋" w:cs="Arial"/>
          <w:color w:val="000000"/>
          <w:kern w:val="0"/>
          <w:sz w:val="32"/>
          <w:szCs w:val="32"/>
          <w:shd w:val="clear" w:color="auto" w:fill="FFFFFF"/>
        </w:rPr>
        <w:t>年保持一致，</w:t>
      </w:r>
      <w:r>
        <w:rPr>
          <w:rFonts w:ascii="仿宋" w:hAnsi="仿宋" w:eastAsia="仿宋" w:cs="Arial"/>
          <w:color w:val="000000"/>
          <w:kern w:val="0"/>
          <w:sz w:val="32"/>
          <w:szCs w:val="32"/>
          <w:shd w:val="clear" w:color="auto" w:fill="FFFFFF"/>
        </w:rPr>
        <w:t>原因是继续贯彻落实中央八项规定精神，坚持厉行勤俭节约，严格控制公务用车范围。</w:t>
      </w:r>
    </w:p>
    <w:p>
      <w:pPr>
        <w:widowControl/>
        <w:spacing w:line="590" w:lineRule="exact"/>
        <w:ind w:firstLine="643" w:firstLineChars="200"/>
        <w:rPr>
          <w:rFonts w:hint="eastAsia" w:ascii="仿宋_GB2312" w:hAnsi="仿宋_GB2312" w:eastAsia="仿宋_GB2312" w:cs="仿宋_GB2312"/>
          <w:sz w:val="32"/>
          <w:szCs w:val="32"/>
        </w:rPr>
      </w:pPr>
      <w:r>
        <w:rPr>
          <w:rFonts w:ascii="仿宋" w:hAnsi="仿宋" w:eastAsia="仿宋" w:cs="Arial"/>
          <w:b/>
          <w:bCs/>
          <w:color w:val="000000"/>
          <w:kern w:val="0"/>
          <w:sz w:val="32"/>
          <w:szCs w:val="32"/>
          <w:shd w:val="clear" w:color="auto" w:fill="FFFFFF"/>
        </w:rPr>
        <w:t>（三）公务接待费</w:t>
      </w:r>
      <w:r>
        <w:rPr>
          <w:rFonts w:hint="eastAsia" w:ascii="仿宋" w:hAnsi="仿宋" w:eastAsia="仿宋" w:cs="Arial"/>
          <w:color w:val="000000"/>
          <w:kern w:val="0"/>
          <w:sz w:val="32"/>
          <w:szCs w:val="32"/>
          <w:shd w:val="clear" w:color="auto" w:fill="FFFFFF"/>
        </w:rPr>
        <w:t>0.0</w:t>
      </w:r>
      <w:r>
        <w:rPr>
          <w:rFonts w:ascii="仿宋" w:hAnsi="仿宋" w:eastAsia="仿宋" w:cs="Arial"/>
          <w:color w:val="000000"/>
          <w:kern w:val="0"/>
          <w:sz w:val="32"/>
          <w:szCs w:val="32"/>
          <w:shd w:val="clear" w:color="auto" w:fill="FFFFFF"/>
        </w:rPr>
        <w:t>万元。主要原因</w:t>
      </w:r>
      <w:r>
        <w:rPr>
          <w:rFonts w:hint="eastAsia" w:ascii="仿宋" w:hAnsi="仿宋" w:eastAsia="仿宋" w:cs="Arial"/>
          <w:color w:val="000000"/>
          <w:kern w:val="0"/>
          <w:sz w:val="32"/>
          <w:szCs w:val="32"/>
          <w:shd w:val="clear" w:color="auto" w:fill="FFFFFF"/>
        </w:rPr>
        <w:t>严格执行八项规定，</w:t>
      </w:r>
      <w:r>
        <w:rPr>
          <w:rFonts w:ascii="仿宋" w:hAnsi="仿宋" w:eastAsia="仿宋" w:cs="Arial"/>
          <w:color w:val="000000"/>
          <w:kern w:val="0"/>
          <w:sz w:val="32"/>
          <w:szCs w:val="32"/>
          <w:shd w:val="clear" w:color="auto" w:fill="FFFFFF"/>
        </w:rPr>
        <w:t>厉行节约，</w:t>
      </w:r>
      <w:r>
        <w:rPr>
          <w:rFonts w:hint="eastAsia" w:ascii="仿宋" w:hAnsi="仿宋" w:eastAsia="仿宋" w:cs="Arial"/>
          <w:color w:val="000000"/>
          <w:kern w:val="0"/>
          <w:sz w:val="32"/>
          <w:szCs w:val="32"/>
          <w:shd w:val="clear" w:color="auto" w:fill="FFFFFF"/>
        </w:rPr>
        <w:t>不断</w:t>
      </w:r>
      <w:r>
        <w:rPr>
          <w:rFonts w:ascii="仿宋" w:hAnsi="仿宋" w:eastAsia="仿宋" w:cs="Arial"/>
          <w:color w:val="000000"/>
          <w:kern w:val="0"/>
          <w:sz w:val="32"/>
          <w:szCs w:val="32"/>
          <w:shd w:val="clear" w:color="auto" w:fill="FFFFFF"/>
        </w:rPr>
        <w:t>压缩</w:t>
      </w:r>
      <w:r>
        <w:rPr>
          <w:rFonts w:hint="eastAsia" w:ascii="仿宋" w:hAnsi="仿宋" w:eastAsia="仿宋" w:cs="Arial"/>
          <w:color w:val="000000"/>
          <w:kern w:val="0"/>
          <w:sz w:val="32"/>
          <w:szCs w:val="32"/>
          <w:shd w:val="clear" w:color="auto" w:fill="FFFFFF"/>
        </w:rPr>
        <w:t>公务接待费</w:t>
      </w:r>
      <w:r>
        <w:rPr>
          <w:rFonts w:ascii="仿宋" w:hAnsi="仿宋" w:eastAsia="仿宋" w:cs="Arial"/>
          <w:color w:val="000000"/>
          <w:kern w:val="0"/>
          <w:sz w:val="32"/>
          <w:szCs w:val="32"/>
          <w:shd w:val="clear" w:color="auto" w:fill="FFFFFF"/>
        </w:rPr>
        <w:t>支出。</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年度“三公”经费支出预算</w:t>
      </w:r>
      <w:r>
        <w:rPr>
          <w:rFonts w:hint="eastAsia" w:ascii="仿宋_GB2312" w:hAnsi="仿宋_GB2312" w:eastAsia="仿宋_GB2312" w:cs="仿宋_GB2312"/>
          <w:sz w:val="32"/>
          <w:szCs w:val="32"/>
          <w:lang w:eastAsia="zh-CN"/>
        </w:rPr>
        <w:t>数与上年持平</w:t>
      </w:r>
      <w:r>
        <w:rPr>
          <w:rFonts w:hint="eastAsia" w:ascii="仿宋_GB2312" w:hAnsi="仿宋_GB2312" w:eastAsia="仿宋_GB2312" w:cs="仿宋_GB2312"/>
          <w:sz w:val="32"/>
          <w:szCs w:val="32"/>
        </w:rPr>
        <w:t>。</w:t>
      </w:r>
    </w:p>
    <w:p>
      <w:pPr>
        <w:widowControl/>
        <w:numPr>
          <w:ilvl w:val="0"/>
          <w:numId w:val="0"/>
        </w:numPr>
        <w:spacing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九、其他重要事项情况说明</w:t>
      </w:r>
    </w:p>
    <w:p>
      <w:pPr>
        <w:widowControl/>
        <w:numPr>
          <w:ilvl w:val="0"/>
          <w:numId w:val="0"/>
        </w:numPr>
        <w:spacing w:line="59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（一）机关运行经费支出情况</w:t>
      </w:r>
    </w:p>
    <w:p>
      <w:pPr>
        <w:widowControl/>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 w:hAnsi="仿宋" w:eastAsia="仿宋" w:cs="仿宋"/>
          <w:sz w:val="32"/>
          <w:szCs w:val="32"/>
          <w:lang w:val="en-US" w:eastAsia="zh-CN"/>
        </w:rPr>
        <w:t>2019年机关运行经费支出预算6.28万元。主要保障机构正常运转及正常履职需要。</w:t>
      </w:r>
    </w:p>
    <w:p>
      <w:pPr>
        <w:widowControl/>
        <w:numPr>
          <w:ilvl w:val="0"/>
          <w:numId w:val="0"/>
        </w:numPr>
        <w:spacing w:line="590" w:lineRule="exact"/>
        <w:ind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（二）政府采购情况说明</w:t>
      </w:r>
    </w:p>
    <w:p>
      <w:pPr>
        <w:widowControl/>
        <w:spacing w:line="590" w:lineRule="exact"/>
        <w:ind w:firstLine="640" w:firstLineChars="200"/>
        <w:rPr>
          <w:rFonts w:hint="eastAsia" w:ascii="仿宋_GB2312" w:hAnsi="仿宋" w:eastAsia="仿宋_GB2312" w:cs="仿宋_GB2312"/>
          <w:sz w:val="32"/>
          <w:szCs w:val="32"/>
          <w:lang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2019年度政府采购</w:t>
      </w:r>
      <w:r>
        <w:rPr>
          <w:rFonts w:hint="eastAsia" w:ascii="仿宋_GB2312" w:hAnsi="仿宋" w:eastAsia="仿宋_GB2312" w:cs="仿宋_GB2312"/>
          <w:sz w:val="32"/>
          <w:szCs w:val="32"/>
        </w:rPr>
        <w:t>总额</w:t>
      </w:r>
      <w:r>
        <w:rPr>
          <w:rFonts w:hint="eastAsia" w:ascii="仿宋_GB2312" w:hAnsi="仿宋" w:eastAsia="仿宋_GB2312" w:cs="仿宋_GB2312"/>
          <w:sz w:val="32"/>
          <w:szCs w:val="32"/>
          <w:lang w:val="en-US" w:eastAsia="zh-CN"/>
        </w:rPr>
        <w:t>5.01</w:t>
      </w:r>
      <w:r>
        <w:rPr>
          <w:rFonts w:hint="eastAsia" w:ascii="仿宋_GB2312" w:hAnsi="仿宋" w:eastAsia="仿宋_GB2312" w:cs="仿宋_GB2312"/>
          <w:sz w:val="32"/>
          <w:szCs w:val="32"/>
        </w:rPr>
        <w:t>万元，其中：政府采购货物支出</w:t>
      </w:r>
      <w:r>
        <w:rPr>
          <w:rFonts w:hint="eastAsia" w:ascii="仿宋_GB2312" w:hAnsi="仿宋" w:eastAsia="仿宋_GB2312" w:cs="仿宋_GB2312"/>
          <w:sz w:val="32"/>
          <w:szCs w:val="32"/>
          <w:lang w:val="en-US" w:eastAsia="zh-CN"/>
        </w:rPr>
        <w:t>5.01</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p>
    <w:p>
      <w:pPr>
        <w:widowControl/>
        <w:spacing w:line="590" w:lineRule="exact"/>
        <w:ind w:firstLine="640" w:firstLineChars="200"/>
        <w:rPr>
          <w:rFonts w:hint="eastAsia" w:ascii="仿宋_GB2312" w:hAnsi="仿宋_GB2312" w:eastAsia="仿宋_GB2312" w:cs="仿宋_GB2312"/>
          <w:sz w:val="32"/>
          <w:szCs w:val="32"/>
        </w:rPr>
      </w:pPr>
    </w:p>
    <w:p>
      <w:pPr>
        <w:widowControl/>
        <w:numPr>
          <w:ilvl w:val="0"/>
          <w:numId w:val="3"/>
        </w:numPr>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绩效目标设置情况</w:t>
      </w:r>
    </w:p>
    <w:p>
      <w:pPr>
        <w:widowControl/>
        <w:numPr>
          <w:ilvl w:val="0"/>
          <w:numId w:val="0"/>
        </w:numPr>
        <w:spacing w:line="59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年按要求编制了绩效目标，从项目产出、项目效益、满意度等方面设置了绩效指标，综合反映项目预期完成的数量、实效、质量，预期达到的社会经济效益、可持续影响以及服务对象满意度等情况。</w:t>
      </w:r>
    </w:p>
    <w:p>
      <w:pPr>
        <w:widowControl/>
        <w:numPr>
          <w:ilvl w:val="0"/>
          <w:numId w:val="3"/>
        </w:numPr>
        <w:spacing w:line="590" w:lineRule="exact"/>
        <w:ind w:left="0" w:leftChars="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国有资产占用情况</w:t>
      </w:r>
    </w:p>
    <w:p>
      <w:pPr>
        <w:widowControl/>
        <w:numPr>
          <w:ilvl w:val="0"/>
          <w:numId w:val="0"/>
        </w:numPr>
        <w:spacing w:line="590" w:lineRule="exact"/>
        <w:ind w:leftChars="200" w:firstLine="320" w:firstLineChars="1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2018年期末，</w:t>
      </w: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村镇办共有车辆</w:t>
      </w:r>
      <w:r>
        <w:rPr>
          <w:rFonts w:hint="eastAsia" w:ascii="仿宋" w:hAnsi="仿宋" w:eastAsia="仿宋" w:cs="仿宋"/>
          <w:sz w:val="32"/>
          <w:szCs w:val="32"/>
          <w:lang w:val="en-US" w:eastAsia="zh-CN"/>
        </w:rPr>
        <w:t>0辆，单价50万元以上通用设备0套，单位价100万元以上专用设备0套。</w:t>
      </w:r>
    </w:p>
    <w:p>
      <w:pPr>
        <w:widowControl/>
        <w:numPr>
          <w:ilvl w:val="0"/>
          <w:numId w:val="3"/>
        </w:numPr>
        <w:spacing w:line="590" w:lineRule="exact"/>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专项转移支付项目情况</w:t>
      </w:r>
    </w:p>
    <w:p>
      <w:pPr>
        <w:widowControl/>
        <w:numPr>
          <w:ilvl w:val="0"/>
          <w:numId w:val="0"/>
        </w:numPr>
        <w:spacing w:line="590" w:lineRule="exact"/>
        <w:ind w:leftChars="200" w:firstLine="320" w:firstLineChars="100"/>
        <w:rPr>
          <w:rFonts w:hint="eastAsia" w:ascii="仿宋" w:hAnsi="仿宋" w:eastAsia="仿宋_GB2312" w:cs="仿宋"/>
          <w:sz w:val="32"/>
          <w:szCs w:val="32"/>
          <w:lang w:val="en-US" w:eastAsia="zh-CN"/>
        </w:rPr>
      </w:pPr>
      <w:r>
        <w:rPr>
          <w:rFonts w:hint="eastAsia" w:ascii="仿宋" w:hAnsi="仿宋" w:eastAsia="仿宋" w:cs="仿宋"/>
          <w:sz w:val="32"/>
          <w:szCs w:val="32"/>
        </w:rPr>
        <w:t>平顶山市新城区</w:t>
      </w:r>
      <w:r>
        <w:rPr>
          <w:rFonts w:hint="eastAsia" w:ascii="仿宋" w:hAnsi="仿宋" w:eastAsia="仿宋" w:cs="仿宋"/>
          <w:sz w:val="32"/>
          <w:szCs w:val="32"/>
          <w:lang w:eastAsia="zh-CN"/>
        </w:rPr>
        <w:t>村镇办</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年没有专项转移支付项目。</w:t>
      </w:r>
    </w:p>
    <w:p>
      <w:pPr>
        <w:widowControl/>
        <w:numPr>
          <w:ilvl w:val="0"/>
          <w:numId w:val="0"/>
        </w:numPr>
        <w:spacing w:line="590" w:lineRule="exact"/>
        <w:ind w:leftChars="200" w:firstLine="320" w:firstLineChars="100"/>
        <w:rPr>
          <w:rFonts w:hint="eastAsia" w:ascii="仿宋" w:hAnsi="仿宋" w:eastAsia="仿宋" w:cs="仿宋"/>
          <w:sz w:val="32"/>
          <w:szCs w:val="32"/>
          <w:lang w:val="en-US" w:eastAsia="zh-CN"/>
        </w:rPr>
      </w:pPr>
    </w:p>
    <w:p>
      <w:pPr>
        <w:widowControl/>
        <w:numPr>
          <w:ilvl w:val="0"/>
          <w:numId w:val="0"/>
        </w:numPr>
        <w:spacing w:line="590" w:lineRule="exact"/>
        <w:ind w:leftChars="200"/>
        <w:rPr>
          <w:rFonts w:hint="eastAsia" w:ascii="黑体" w:hAnsi="黑体" w:eastAsia="黑体" w:cs="黑体"/>
          <w:sz w:val="32"/>
          <w:szCs w:val="32"/>
          <w:lang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4"/>
        </w:numPr>
        <w:jc w:val="center"/>
        <w:rPr>
          <w:rFonts w:hint="eastAsia" w:ascii="黑体" w:hAnsi="黑体" w:eastAsia="黑体" w:cs="黑体"/>
          <w:sz w:val="48"/>
          <w:szCs w:val="48"/>
        </w:rPr>
      </w:pPr>
      <w:r>
        <w:rPr>
          <w:rFonts w:hint="eastAsia" w:ascii="黑体" w:hAnsi="黑体" w:eastAsia="黑体" w:cs="黑体"/>
          <w:sz w:val="48"/>
          <w:szCs w:val="48"/>
        </w:rPr>
        <w:t>　名词解释</w:t>
      </w:r>
    </w:p>
    <w:p>
      <w:pPr>
        <w:numPr>
          <w:ilvl w:val="0"/>
          <w:numId w:val="0"/>
        </w:numPr>
        <w:jc w:val="both"/>
        <w:rPr>
          <w:rFonts w:hint="eastAsia" w:ascii="黑体" w:hAnsi="黑体" w:eastAsia="黑体" w:cs="黑体"/>
          <w:sz w:val="48"/>
          <w:szCs w:val="48"/>
        </w:rPr>
      </w:pPr>
    </w:p>
    <w:p>
      <w:pPr>
        <w:jc w:val="center"/>
        <w:outlineLvl w:val="0"/>
        <w:rPr>
          <w:rFonts w:hint="eastAsia" w:ascii="黑体" w:hAnsi="黑体" w:eastAsia="黑体" w:cs="黑体"/>
          <w:sz w:val="48"/>
          <w:szCs w:val="48"/>
          <w:lang w:eastAsia="zh-CN"/>
        </w:rPr>
        <w:sectPr>
          <w:pgSz w:w="11906" w:h="16838"/>
          <w:pgMar w:top="1440" w:right="1531" w:bottom="1440" w:left="1587" w:header="850" w:footer="992" w:gutter="0"/>
          <w:pgNumType w:fmt="numberInDash"/>
          <w:cols w:space="720" w:num="1"/>
          <w:docGrid w:type="lines" w:linePitch="317" w:charSpace="0"/>
        </w:sectPr>
      </w:pPr>
    </w:p>
    <w:p>
      <w:pPr>
        <w:widowControl/>
        <w:numPr>
          <w:ilvl w:val="0"/>
          <w:numId w:val="0"/>
        </w:numPr>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eastAsia="zh-CN"/>
        </w:rPr>
        <w:t>是指本级财政当年拨付的资金。</w:t>
      </w:r>
    </w:p>
    <w:p>
      <w:pPr>
        <w:widowControl/>
        <w:numPr>
          <w:ilvl w:val="0"/>
          <w:numId w:val="0"/>
        </w:num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事业单位开展专业活动及其辅助活动取得的收入。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是指部门</w:t>
      </w:r>
      <w:r>
        <w:rPr>
          <w:rFonts w:hint="eastAsia" w:ascii="仿宋_GB2312" w:hAnsi="仿宋_GB2312" w:eastAsia="仿宋_GB2312" w:cs="仿宋_GB2312"/>
          <w:sz w:val="32"/>
          <w:szCs w:val="32"/>
        </w:rPr>
        <w:t>取得的除“财政拨款”、“事业收入”、“</w:t>
      </w:r>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2"/>
          <w:szCs w:val="32"/>
        </w:rPr>
        <w:t>经营收入”等以外的收入。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四、用事业基金弥补收支差额：</w:t>
      </w:r>
      <w:r>
        <w:rPr>
          <w:rFonts w:hint="eastAsia" w:ascii="仿宋_GB2312" w:hAnsi="仿宋_GB2312" w:eastAsia="仿宋_GB2312" w:cs="仿宋_GB2312"/>
          <w:sz w:val="32"/>
          <w:szCs w:val="32"/>
          <w:lang w:eastAsia="zh-CN"/>
        </w:rPr>
        <w:t>是指事业单位在当年的</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”、“事业收入”、“经营收入”</w:t>
      </w:r>
      <w:r>
        <w:rPr>
          <w:rFonts w:hint="eastAsia" w:ascii="仿宋_GB2312" w:hAnsi="仿宋_GB2312" w:eastAsia="仿宋_GB2312" w:cs="仿宋_GB2312"/>
          <w:sz w:val="32"/>
          <w:szCs w:val="32"/>
          <w:lang w:eastAsia="zh-CN"/>
        </w:rPr>
        <w:t>和“其他收入”</w:t>
      </w:r>
      <w:r>
        <w:rPr>
          <w:rFonts w:hint="eastAsia" w:ascii="仿宋_GB2312" w:hAnsi="仿宋_GB2312" w:eastAsia="仿宋_GB2312" w:cs="仿宋_GB2312"/>
          <w:sz w:val="32"/>
          <w:szCs w:val="32"/>
        </w:rPr>
        <w:t>不足以安排当年支出的情况下，使用以前年度积累的事业基金（</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以前各年度收支相抵后，</w:t>
      </w:r>
      <w:r>
        <w:rPr>
          <w:rFonts w:hint="eastAsia" w:ascii="仿宋_GB2312" w:hAnsi="仿宋_GB2312" w:eastAsia="仿宋_GB2312" w:cs="仿宋_GB2312"/>
          <w:sz w:val="32"/>
          <w:szCs w:val="32"/>
        </w:rPr>
        <w:t>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为保障机构正常运转、完成日常工作任务</w:t>
      </w:r>
      <w:r>
        <w:rPr>
          <w:rFonts w:hint="eastAsia" w:ascii="仿宋_GB2312" w:hAnsi="仿宋_GB2312" w:eastAsia="仿宋_GB2312" w:cs="仿宋_GB2312"/>
          <w:sz w:val="32"/>
          <w:szCs w:val="32"/>
          <w:lang w:eastAsia="zh-CN"/>
        </w:rPr>
        <w:t>所必需的开支，其内容包括人员经费和日常公用经费两部分。</w:t>
      </w:r>
    </w:p>
    <w:p>
      <w:pPr>
        <w:widowControl/>
        <w:shd w:val="clear" w:color="auto" w:fill="FFFFFF"/>
        <w:spacing w:line="375" w:lineRule="atLeast"/>
        <w:ind w:firstLine="540"/>
        <w:jc w:val="left"/>
        <w:rPr>
          <w:rFonts w:ascii="仿宋" w:hAnsi="仿宋" w:eastAsia="仿宋" w:cs="Arial"/>
          <w:kern w:val="0"/>
          <w:sz w:val="32"/>
          <w:szCs w:val="32"/>
        </w:rPr>
      </w:pPr>
      <w:r>
        <w:rPr>
          <w:rFonts w:ascii="仿宋" w:hAnsi="仿宋" w:eastAsia="仿宋" w:cs="Arial"/>
          <w:color w:val="000000"/>
          <w:kern w:val="0"/>
          <w:sz w:val="32"/>
          <w:szCs w:val="32"/>
          <w:shd w:val="clear" w:color="auto" w:fill="FFFFFF"/>
        </w:rPr>
        <w:t>六、项目支出：是指在基本支出之外，为完成特定的行政工作任务或事业发展目标所发生的支出。</w:t>
      </w:r>
    </w:p>
    <w:p>
      <w:pPr>
        <w:widowControl/>
        <w:shd w:val="clear" w:color="auto" w:fill="FFFFFF"/>
        <w:spacing w:line="375" w:lineRule="atLeast"/>
        <w:ind w:firstLine="540"/>
        <w:jc w:val="left"/>
        <w:rPr>
          <w:rFonts w:ascii="仿宋" w:hAnsi="仿宋" w:eastAsia="仿宋" w:cs="Arial"/>
          <w:kern w:val="0"/>
          <w:sz w:val="32"/>
          <w:szCs w:val="32"/>
        </w:rPr>
      </w:pPr>
      <w:r>
        <w:rPr>
          <w:rFonts w:ascii="仿宋" w:hAnsi="仿宋" w:eastAsia="仿宋" w:cs="Arial"/>
          <w:color w:val="000000"/>
          <w:kern w:val="0"/>
          <w:sz w:val="32"/>
          <w:szCs w:val="32"/>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375" w:lineRule="atLeast"/>
        <w:ind w:firstLine="540"/>
        <w:jc w:val="left"/>
        <w:rPr>
          <w:rFonts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shd w:val="clear" w:color="auto" w:fill="FFFFFF"/>
        <w:spacing w:line="375" w:lineRule="atLeast"/>
        <w:ind w:firstLine="540"/>
        <w:jc w:val="left"/>
        <w:rPr>
          <w:rFonts w:ascii="仿宋" w:hAnsi="仿宋" w:eastAsia="仿宋" w:cs="Arial"/>
          <w:color w:val="000000"/>
          <w:kern w:val="0"/>
          <w:sz w:val="32"/>
          <w:szCs w:val="32"/>
          <w:shd w:val="clear" w:color="auto" w:fill="FFFFFF"/>
        </w:rPr>
      </w:pPr>
    </w:p>
    <w:p>
      <w:pPr>
        <w:widowControl/>
        <w:shd w:val="clear" w:color="auto" w:fill="FFFFFF"/>
        <w:spacing w:line="375" w:lineRule="atLeast"/>
        <w:ind w:firstLine="540"/>
        <w:jc w:val="left"/>
        <w:rPr>
          <w:rFonts w:hint="eastAsia" w:ascii="仿宋" w:hAnsi="仿宋" w:eastAsia="仿宋" w:cs="Arial"/>
          <w:kern w:val="0"/>
          <w:sz w:val="32"/>
          <w:szCs w:val="32"/>
        </w:rPr>
      </w:pPr>
    </w:p>
    <w:p>
      <w:pPr>
        <w:widowControl/>
        <w:shd w:val="clear" w:color="auto" w:fill="FFFFFF"/>
        <w:spacing w:line="375" w:lineRule="atLeast"/>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 xml:space="preserve">附件： </w:t>
      </w:r>
    </w:p>
    <w:p>
      <w:pPr>
        <w:widowControl/>
        <w:shd w:val="clear" w:color="auto" w:fill="FFFFFF"/>
        <w:spacing w:line="375" w:lineRule="atLeast"/>
        <w:ind w:left="960" w:hanging="960" w:hangingChars="300"/>
        <w:jc w:val="left"/>
        <w:rPr>
          <w:rFonts w:hint="eastAsia" w:ascii="黑体" w:hAnsi="黑体" w:eastAsia="黑体" w:cs="黑体"/>
          <w:kern w:val="0"/>
          <w:sz w:val="32"/>
          <w:szCs w:val="32"/>
        </w:rPr>
      </w:pPr>
      <w:r>
        <w:rPr>
          <w:rFonts w:hint="eastAsia" w:ascii="黑体" w:hAnsi="黑体" w:eastAsia="黑体" w:cs="黑体"/>
          <w:color w:val="000000"/>
          <w:kern w:val="0"/>
          <w:sz w:val="32"/>
          <w:szCs w:val="32"/>
          <w:shd w:val="clear" w:color="auto" w:fill="FFFFFF"/>
        </w:rPr>
        <w:t xml:space="preserve">     平顶山市新城区</w:t>
      </w:r>
      <w:r>
        <w:rPr>
          <w:rFonts w:hint="eastAsia" w:ascii="黑体" w:hAnsi="黑体" w:eastAsia="黑体" w:cs="黑体"/>
          <w:color w:val="000000"/>
          <w:kern w:val="0"/>
          <w:sz w:val="32"/>
          <w:szCs w:val="32"/>
          <w:shd w:val="clear" w:color="auto" w:fill="FFFFFF"/>
          <w:lang w:eastAsia="zh-CN"/>
        </w:rPr>
        <w:t>村镇办</w:t>
      </w:r>
      <w:r>
        <w:rPr>
          <w:rFonts w:hint="eastAsia" w:ascii="黑体" w:hAnsi="黑体" w:eastAsia="黑体" w:cs="黑体"/>
          <w:color w:val="000000"/>
          <w:kern w:val="0"/>
          <w:sz w:val="32"/>
          <w:szCs w:val="32"/>
          <w:shd w:val="clear" w:color="auto" w:fill="FFFFFF"/>
        </w:rPr>
        <w:t>2021年度部门预算表</w:t>
      </w:r>
    </w:p>
    <w:p>
      <w:pPr>
        <w:rPr>
          <w:rFonts w:hint="eastAsia"/>
          <w:lang w:eastAsia="zh-CN"/>
        </w:rPr>
      </w:pPr>
    </w:p>
    <w:p>
      <w:pPr>
        <w:rPr>
          <w:rFonts w:hint="eastAsia"/>
          <w:lang w:eastAsia="zh-CN"/>
        </w:rPr>
      </w:pPr>
    </w:p>
    <w:p>
      <w:pPr>
        <w:rPr>
          <w:rFonts w:hint="eastAsia"/>
          <w:lang w:eastAsia="zh-CN"/>
        </w:rPr>
        <w:sectPr>
          <w:pgSz w:w="11906" w:h="16838"/>
          <w:pgMar w:top="1928" w:right="1474" w:bottom="1701" w:left="1588" w:header="851" w:footer="992" w:gutter="0"/>
          <w:pgNumType w:fmt="numberInDash"/>
          <w:cols w:space="720" w:num="1"/>
          <w:docGrid w:type="lines" w:linePitch="312" w:charSpace="0"/>
        </w:sectPr>
      </w:pPr>
    </w:p>
    <w:p>
      <w:pPr>
        <w:sectPr>
          <w:pgSz w:w="16838" w:h="11906" w:orient="landscape"/>
          <w:pgMar w:top="1588" w:right="1928" w:bottom="1474" w:left="1701" w:header="851" w:footer="992" w:gutter="0"/>
          <w:pgNumType w:fmt="numberInDash"/>
          <w:cols w:space="720" w:num="1"/>
          <w:docGrid w:type="lines" w:linePitch="312" w:charSpace="0"/>
        </w:sectPr>
      </w:pPr>
      <w:r>
        <w:object>
          <v:shape id="_x0000_i1026" o:spt="75" type="#_x0000_t75" style="height:405.8pt;width:659.8pt;" o:ole="t" filled="f" o:preferrelative="t" stroked="f" coordsize="21600,21600">
            <v:path/>
            <v:fill on="f" focussize="0,0"/>
            <v:stroke on="f"/>
            <v:imagedata r:id="rId6" o:title=""/>
            <o:lock v:ext="edit" aspectratio="f"/>
            <w10:wrap type="none"/>
            <w10:anchorlock/>
          </v:shape>
          <o:OLEObject Type="Embed" ProgID="Office12.Excel.Template" ShapeID="_x0000_i1026" DrawAspect="Content" ObjectID="_1468075725" r:id="rId5">
            <o:LockedField>false</o:LockedField>
          </o:OLEObject>
        </w:object>
      </w:r>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8668385" cy="4925695"/>
            <wp:effectExtent l="0" t="0" r="1841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8668385" cy="4925695"/>
                    </a:xfrm>
                    <a:prstGeom prst="rect">
                      <a:avLst/>
                    </a:prstGeom>
                    <a:noFill/>
                    <a:ln>
                      <a:noFill/>
                    </a:ln>
                  </pic:spPr>
                </pic:pic>
              </a:graphicData>
            </a:graphic>
          </wp:inline>
        </w:drawing>
      </w:r>
    </w:p>
    <w:p>
      <w:pPr>
        <w:sectPr>
          <w:pgSz w:w="16838" w:h="11906" w:orient="landscape"/>
          <w:pgMar w:top="1588" w:right="1928" w:bottom="1474" w:left="1701" w:header="851" w:footer="992" w:gutter="0"/>
          <w:pgNumType w:fmt="numberInDash"/>
          <w:cols w:space="720" w:num="1"/>
          <w:docGrid w:type="lines" w:linePitch="312" w:charSpace="0"/>
        </w:sectPr>
      </w:pPr>
      <w:r>
        <w:object>
          <v:shape id="_x0000_i1027" o:spt="75" type="#_x0000_t75" style="height:355.05pt;width:660.3pt;" o:ole="t" filled="f" o:preferrelative="t" stroked="f" coordsize="21600,21600">
            <v:path/>
            <v:fill on="f" focussize="0,0"/>
            <v:stroke on="f"/>
            <v:imagedata r:id="rId9" o:title=""/>
            <o:lock v:ext="edit" aspectratio="f"/>
            <w10:wrap type="none"/>
            <w10:anchorlock/>
          </v:shape>
          <o:OLEObject Type="Embed" ProgID="Office12.Excel.Template" ShapeID="_x0000_i1027" DrawAspect="Content" ObjectID="_1468075726" r:id="rId8">
            <o:LockedField>false</o:LockedField>
          </o:OLEObject>
        </w:object>
      </w:r>
      <w:bookmarkStart w:id="0" w:name="_GoBack"/>
      <w:bookmarkEnd w:id="0"/>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8383270" cy="6478270"/>
            <wp:effectExtent l="0" t="0" r="17780"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8383270" cy="6478270"/>
                    </a:xfrm>
                    <a:prstGeom prst="rect">
                      <a:avLst/>
                    </a:prstGeom>
                    <a:noFill/>
                    <a:ln>
                      <a:noFill/>
                    </a:ln>
                  </pic:spPr>
                </pic:pic>
              </a:graphicData>
            </a:graphic>
          </wp:inline>
        </w:drawing>
      </w:r>
    </w:p>
    <w:p>
      <w:pPr>
        <w:rPr>
          <w:rFonts w:hint="eastAsia"/>
          <w:lang w:eastAsia="zh-CN"/>
        </w:r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8384540" cy="5363845"/>
            <wp:effectExtent l="0" t="0" r="1651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8384540" cy="5363845"/>
                    </a:xfrm>
                    <a:prstGeom prst="rect">
                      <a:avLst/>
                    </a:prstGeom>
                    <a:noFill/>
                    <a:ln>
                      <a:noFill/>
                    </a:ln>
                  </pic:spPr>
                </pic:pic>
              </a:graphicData>
            </a:graphic>
          </wp:inline>
        </w:drawing>
      </w:r>
    </w:p>
    <w:p>
      <w:r>
        <w:drawing>
          <wp:inline distT="0" distB="0" distL="114300" distR="114300">
            <wp:extent cx="8376920" cy="5756275"/>
            <wp:effectExtent l="0" t="0" r="5080" b="158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8376920" cy="5756275"/>
                    </a:xfrm>
                    <a:prstGeom prst="rect">
                      <a:avLst/>
                    </a:prstGeom>
                    <a:noFill/>
                    <a:ln>
                      <a:noFill/>
                    </a:ln>
                  </pic:spPr>
                </pic:pic>
              </a:graphicData>
            </a:graphic>
          </wp:inline>
        </w:drawing>
      </w:r>
    </w:p>
    <w:p>
      <w:pPr>
        <w:sectPr>
          <w:pgSz w:w="16838" w:h="11906" w:orient="landscape"/>
          <w:pgMar w:top="1588" w:right="1928" w:bottom="1474" w:left="1701" w:header="851" w:footer="992" w:gutter="0"/>
          <w:pgNumType w:fmt="numberInDash"/>
          <w:cols w:space="720" w:num="1"/>
          <w:docGrid w:type="lines" w:linePitch="312" w:charSpace="0"/>
        </w:sectPr>
      </w:pPr>
    </w:p>
    <w:p>
      <w:pPr>
        <w:sectPr>
          <w:pgSz w:w="11906" w:h="16838"/>
          <w:pgMar w:top="1928" w:right="1474" w:bottom="1701" w:left="1588" w:header="851" w:footer="992" w:gutter="0"/>
          <w:pgNumType w:fmt="numberInDash"/>
          <w:cols w:space="720" w:num="1"/>
          <w:docGrid w:type="lines" w:linePitch="312" w:charSpace="0"/>
        </w:sectPr>
      </w:pPr>
      <w:r>
        <w:object>
          <v:shape id="_x0000_i1025" o:spt="75" type="#_x0000_t75" style="height:597.45pt;width:441.8pt;" o:ole="t" filled="f" o:preferrelative="t" stroked="f" coordsize="21600,21600">
            <v:path/>
            <v:fill on="f" focussize="0,0"/>
            <v:stroke on="f"/>
            <v:imagedata r:id="rId14" o:title=""/>
            <o:lock v:ext="edit" aspectratio="f"/>
            <w10:wrap type="none"/>
            <w10:anchorlock/>
          </v:shape>
          <o:OLEObject Type="Embed" ProgID="Office12.Excel.Template" ShapeID="_x0000_i1025" DrawAspect="Content" ObjectID="_1468075727" r:id="rId13">
            <o:LockedField>false</o:LockedField>
          </o:OLEObject>
        </w:object>
      </w:r>
    </w:p>
    <w:p>
      <w:p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6153150" cy="53435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6153150" cy="5343525"/>
                    </a:xfrm>
                    <a:prstGeom prst="rect">
                      <a:avLst/>
                    </a:prstGeom>
                    <a:noFill/>
                    <a:ln>
                      <a:noFill/>
                    </a:ln>
                  </pic:spPr>
                </pic:pic>
              </a:graphicData>
            </a:graphic>
          </wp:inline>
        </w:drawing>
      </w:r>
    </w:p>
    <w:p>
      <w:pPr>
        <w:sectPr>
          <w:pgSz w:w="16838" w:h="11906" w:orient="landscape"/>
          <w:pgMar w:top="1588" w:right="1928" w:bottom="1474" w:left="1701" w:header="851" w:footer="992" w:gutter="0"/>
          <w:pgNumType w:fmt="numberInDash"/>
          <w:cols w:space="720" w:num="1"/>
          <w:docGrid w:type="lines" w:linePitch="312" w:charSpace="0"/>
        </w:sectPr>
      </w:pPr>
      <w:r>
        <w:drawing>
          <wp:inline distT="0" distB="0" distL="114300" distR="114300">
            <wp:extent cx="8381365" cy="3734435"/>
            <wp:effectExtent l="0" t="0" r="635" b="184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8381365" cy="3734435"/>
                    </a:xfrm>
                    <a:prstGeom prst="rect">
                      <a:avLst/>
                    </a:prstGeom>
                    <a:noFill/>
                    <a:ln>
                      <a:noFill/>
                    </a:ln>
                  </pic:spPr>
                </pic:pic>
              </a:graphicData>
            </a:graphic>
          </wp:inline>
        </w:drawing>
      </w:r>
    </w:p>
    <w:p>
      <w:pPr>
        <w:sectPr>
          <w:pgSz w:w="11906" w:h="16838"/>
          <w:pgMar w:top="1928" w:right="1474" w:bottom="1701" w:left="1588" w:header="851" w:footer="992" w:gutter="0"/>
          <w:pgNumType w:fmt="numberInDash"/>
          <w:cols w:space="720" w:num="1"/>
          <w:docGrid w:type="lines" w:linePitch="312" w:charSpace="0"/>
        </w:sectPr>
      </w:pPr>
      <w:r>
        <w:drawing>
          <wp:inline distT="0" distB="0" distL="114300" distR="114300">
            <wp:extent cx="5453380" cy="7801610"/>
            <wp:effectExtent l="0" t="0" r="1397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5453380" cy="7801610"/>
                    </a:xfrm>
                    <a:prstGeom prst="rect">
                      <a:avLst/>
                    </a:prstGeom>
                    <a:noFill/>
                    <a:ln>
                      <a:noFill/>
                    </a:ln>
                  </pic:spPr>
                </pic:pic>
              </a:graphicData>
            </a:graphic>
          </wp:inline>
        </w:drawing>
      </w:r>
    </w:p>
    <w:p>
      <w:pPr>
        <w:rPr>
          <w:rFonts w:hint="eastAsia"/>
          <w:lang w:eastAsia="zh-CN"/>
        </w:rPr>
      </w:pPr>
      <w:r>
        <w:drawing>
          <wp:inline distT="0" distB="0" distL="114300" distR="114300">
            <wp:extent cx="8379460" cy="3672205"/>
            <wp:effectExtent l="0" t="0" r="254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8379460" cy="3672205"/>
                    </a:xfrm>
                    <a:prstGeom prst="rect">
                      <a:avLst/>
                    </a:prstGeom>
                    <a:noFill/>
                    <a:ln>
                      <a:noFill/>
                    </a:ln>
                  </pic:spPr>
                </pic:pic>
              </a:graphicData>
            </a:graphic>
          </wp:inline>
        </w:drawing>
      </w:r>
    </w:p>
    <w:sectPr>
      <w:pgSz w:w="16838" w:h="11906" w:orient="landscape"/>
      <w:pgMar w:top="1588" w:right="1928"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br w:type="textWrapping"/>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3935C"/>
    <w:multiLevelType w:val="singleLevel"/>
    <w:tmpl w:val="DF33935C"/>
    <w:lvl w:ilvl="0" w:tentative="0">
      <w:start w:val="3"/>
      <w:numFmt w:val="chineseCounting"/>
      <w:suff w:val="nothing"/>
      <w:lvlText w:val="（%1）"/>
      <w:lvlJc w:val="left"/>
      <w:rPr>
        <w:rFonts w:hint="eastAsia"/>
      </w:rPr>
    </w:lvl>
  </w:abstractNum>
  <w:abstractNum w:abstractNumId="1">
    <w:nsid w:val="0DD8C235"/>
    <w:multiLevelType w:val="singleLevel"/>
    <w:tmpl w:val="0DD8C235"/>
    <w:lvl w:ilvl="0" w:tentative="0">
      <w:start w:val="6"/>
      <w:numFmt w:val="chineseCounting"/>
      <w:suff w:val="nothing"/>
      <w:lvlText w:val="%1、"/>
      <w:lvlJc w:val="left"/>
      <w:rPr>
        <w:rFonts w:hint="eastAsia"/>
      </w:rPr>
    </w:lvl>
  </w:abstractNum>
  <w:abstractNum w:abstractNumId="2">
    <w:nsid w:val="21685CA6"/>
    <w:multiLevelType w:val="singleLevel"/>
    <w:tmpl w:val="21685CA6"/>
    <w:lvl w:ilvl="0" w:tentative="0">
      <w:start w:val="3"/>
      <w:numFmt w:val="chineseCounting"/>
      <w:suff w:val="nothing"/>
      <w:lvlText w:val="第%1部分　"/>
      <w:lvlJc w:val="left"/>
      <w:rPr>
        <w:rFonts w:hint="eastAsia"/>
      </w:rPr>
    </w:lvl>
  </w:abstractNum>
  <w:abstractNum w:abstractNumId="3">
    <w:nsid w:val="632FC893"/>
    <w:multiLevelType w:val="singleLevel"/>
    <w:tmpl w:val="632FC893"/>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76F7A"/>
    <w:rsid w:val="00B72AD8"/>
    <w:rsid w:val="00D06F40"/>
    <w:rsid w:val="013541BA"/>
    <w:rsid w:val="013A7212"/>
    <w:rsid w:val="01703541"/>
    <w:rsid w:val="017B30BD"/>
    <w:rsid w:val="020428B8"/>
    <w:rsid w:val="026F3846"/>
    <w:rsid w:val="02836FD5"/>
    <w:rsid w:val="030A6AB9"/>
    <w:rsid w:val="03C46D8F"/>
    <w:rsid w:val="044D5B1A"/>
    <w:rsid w:val="048B7186"/>
    <w:rsid w:val="04DB402E"/>
    <w:rsid w:val="05DF66AD"/>
    <w:rsid w:val="06A5637E"/>
    <w:rsid w:val="06B531E0"/>
    <w:rsid w:val="079A49B0"/>
    <w:rsid w:val="07F5291C"/>
    <w:rsid w:val="08565F2B"/>
    <w:rsid w:val="08C03183"/>
    <w:rsid w:val="090F1656"/>
    <w:rsid w:val="095D16F9"/>
    <w:rsid w:val="09B33490"/>
    <w:rsid w:val="0A32782F"/>
    <w:rsid w:val="0A7D035D"/>
    <w:rsid w:val="0AA763A2"/>
    <w:rsid w:val="0BAF0914"/>
    <w:rsid w:val="0C2B484F"/>
    <w:rsid w:val="0CF65105"/>
    <w:rsid w:val="0D3052C1"/>
    <w:rsid w:val="0D3E0EC0"/>
    <w:rsid w:val="0D5E63A2"/>
    <w:rsid w:val="0DE6361C"/>
    <w:rsid w:val="0E1402A4"/>
    <w:rsid w:val="0ED66651"/>
    <w:rsid w:val="0F4B2187"/>
    <w:rsid w:val="0F4C7ACD"/>
    <w:rsid w:val="0FEE78F7"/>
    <w:rsid w:val="10EE5A51"/>
    <w:rsid w:val="11506DF0"/>
    <w:rsid w:val="11B3286E"/>
    <w:rsid w:val="11D63F19"/>
    <w:rsid w:val="12047838"/>
    <w:rsid w:val="12236F11"/>
    <w:rsid w:val="12C837BB"/>
    <w:rsid w:val="13BC5850"/>
    <w:rsid w:val="13FD18B6"/>
    <w:rsid w:val="14337C44"/>
    <w:rsid w:val="144A4668"/>
    <w:rsid w:val="151A34D5"/>
    <w:rsid w:val="15424482"/>
    <w:rsid w:val="156706A0"/>
    <w:rsid w:val="1569356D"/>
    <w:rsid w:val="15C9271F"/>
    <w:rsid w:val="15D96131"/>
    <w:rsid w:val="16B0712B"/>
    <w:rsid w:val="16D614E8"/>
    <w:rsid w:val="18560B05"/>
    <w:rsid w:val="18753A5C"/>
    <w:rsid w:val="1AB92D67"/>
    <w:rsid w:val="1AF12881"/>
    <w:rsid w:val="1B19447B"/>
    <w:rsid w:val="1B1C53A5"/>
    <w:rsid w:val="1B892790"/>
    <w:rsid w:val="1BB643EE"/>
    <w:rsid w:val="1BF55EC8"/>
    <w:rsid w:val="1C0A1589"/>
    <w:rsid w:val="1C510A3E"/>
    <w:rsid w:val="1CDD2241"/>
    <w:rsid w:val="1D301F18"/>
    <w:rsid w:val="1DB21069"/>
    <w:rsid w:val="1F3A3D66"/>
    <w:rsid w:val="1F4B0708"/>
    <w:rsid w:val="1FDE7368"/>
    <w:rsid w:val="1FEC7EEC"/>
    <w:rsid w:val="21396443"/>
    <w:rsid w:val="2213765A"/>
    <w:rsid w:val="226A2D6A"/>
    <w:rsid w:val="228C632C"/>
    <w:rsid w:val="23AF6F37"/>
    <w:rsid w:val="23BF288C"/>
    <w:rsid w:val="24153702"/>
    <w:rsid w:val="24B311F6"/>
    <w:rsid w:val="24B45CDD"/>
    <w:rsid w:val="25CB665B"/>
    <w:rsid w:val="263424AA"/>
    <w:rsid w:val="26446E7C"/>
    <w:rsid w:val="266D6A00"/>
    <w:rsid w:val="274B0AFA"/>
    <w:rsid w:val="27776FFE"/>
    <w:rsid w:val="27E31F31"/>
    <w:rsid w:val="286B4DA0"/>
    <w:rsid w:val="28984FAD"/>
    <w:rsid w:val="29074B40"/>
    <w:rsid w:val="2917137C"/>
    <w:rsid w:val="297D6B03"/>
    <w:rsid w:val="29BD0195"/>
    <w:rsid w:val="29D01D4B"/>
    <w:rsid w:val="2ADB3EF0"/>
    <w:rsid w:val="2B0C2D76"/>
    <w:rsid w:val="2B0C3EAD"/>
    <w:rsid w:val="2B826253"/>
    <w:rsid w:val="2BB934EB"/>
    <w:rsid w:val="2BC269C4"/>
    <w:rsid w:val="2CAC2F1D"/>
    <w:rsid w:val="2D1F7F9A"/>
    <w:rsid w:val="2DAA5A47"/>
    <w:rsid w:val="2E585CE1"/>
    <w:rsid w:val="2EB400EC"/>
    <w:rsid w:val="2F1D4DC1"/>
    <w:rsid w:val="2FC62651"/>
    <w:rsid w:val="2FD37834"/>
    <w:rsid w:val="308E6AF9"/>
    <w:rsid w:val="30923400"/>
    <w:rsid w:val="319C193A"/>
    <w:rsid w:val="32A26F15"/>
    <w:rsid w:val="33722683"/>
    <w:rsid w:val="33C745E7"/>
    <w:rsid w:val="3474674E"/>
    <w:rsid w:val="355224E5"/>
    <w:rsid w:val="3574745E"/>
    <w:rsid w:val="35842996"/>
    <w:rsid w:val="359953F6"/>
    <w:rsid w:val="360A1E07"/>
    <w:rsid w:val="36C44784"/>
    <w:rsid w:val="36D8231E"/>
    <w:rsid w:val="37454E72"/>
    <w:rsid w:val="377961C7"/>
    <w:rsid w:val="38062869"/>
    <w:rsid w:val="380C30BB"/>
    <w:rsid w:val="38667657"/>
    <w:rsid w:val="3A4D3937"/>
    <w:rsid w:val="3B025FB6"/>
    <w:rsid w:val="3B3D50EA"/>
    <w:rsid w:val="3B8A746B"/>
    <w:rsid w:val="3BDF30D1"/>
    <w:rsid w:val="3CBD77E1"/>
    <w:rsid w:val="3D0109C4"/>
    <w:rsid w:val="3D262B90"/>
    <w:rsid w:val="3D581806"/>
    <w:rsid w:val="3D7D006F"/>
    <w:rsid w:val="3E5A5016"/>
    <w:rsid w:val="3E6A4B12"/>
    <w:rsid w:val="3F07555C"/>
    <w:rsid w:val="3F283ABB"/>
    <w:rsid w:val="3F7D7501"/>
    <w:rsid w:val="3FEF38BC"/>
    <w:rsid w:val="40F15ED3"/>
    <w:rsid w:val="41ED1097"/>
    <w:rsid w:val="4216005B"/>
    <w:rsid w:val="421B245F"/>
    <w:rsid w:val="42347735"/>
    <w:rsid w:val="423547C5"/>
    <w:rsid w:val="42617BF1"/>
    <w:rsid w:val="426D5254"/>
    <w:rsid w:val="428F67FA"/>
    <w:rsid w:val="42BF44F0"/>
    <w:rsid w:val="43436E4C"/>
    <w:rsid w:val="44EE0440"/>
    <w:rsid w:val="45B11A91"/>
    <w:rsid w:val="45C21B92"/>
    <w:rsid w:val="467C5747"/>
    <w:rsid w:val="46F30597"/>
    <w:rsid w:val="4728607B"/>
    <w:rsid w:val="47B14294"/>
    <w:rsid w:val="47BE63D3"/>
    <w:rsid w:val="47E40A91"/>
    <w:rsid w:val="48814E47"/>
    <w:rsid w:val="48EC3B9F"/>
    <w:rsid w:val="49AF67DE"/>
    <w:rsid w:val="4A611956"/>
    <w:rsid w:val="4A6310A1"/>
    <w:rsid w:val="4A7F6F6C"/>
    <w:rsid w:val="4ADD7F80"/>
    <w:rsid w:val="4B4662F0"/>
    <w:rsid w:val="4B5726D0"/>
    <w:rsid w:val="4BF848CA"/>
    <w:rsid w:val="4BF87544"/>
    <w:rsid w:val="4C1848F5"/>
    <w:rsid w:val="4C9F7771"/>
    <w:rsid w:val="4CB6387A"/>
    <w:rsid w:val="4D322DA0"/>
    <w:rsid w:val="4D734E5E"/>
    <w:rsid w:val="4D997838"/>
    <w:rsid w:val="4DC9527D"/>
    <w:rsid w:val="4DD054FE"/>
    <w:rsid w:val="4E0D257D"/>
    <w:rsid w:val="4ED5324A"/>
    <w:rsid w:val="4F264C07"/>
    <w:rsid w:val="4F5670C1"/>
    <w:rsid w:val="4F993A40"/>
    <w:rsid w:val="4FCC3F8C"/>
    <w:rsid w:val="521F37DC"/>
    <w:rsid w:val="524416FB"/>
    <w:rsid w:val="52F8250C"/>
    <w:rsid w:val="543B56BD"/>
    <w:rsid w:val="54E267F3"/>
    <w:rsid w:val="55256EFD"/>
    <w:rsid w:val="554A2B2E"/>
    <w:rsid w:val="568708F3"/>
    <w:rsid w:val="56AC1537"/>
    <w:rsid w:val="57DF316A"/>
    <w:rsid w:val="582E1420"/>
    <w:rsid w:val="58544A39"/>
    <w:rsid w:val="58D71F0E"/>
    <w:rsid w:val="59A9165E"/>
    <w:rsid w:val="59CA13BC"/>
    <w:rsid w:val="5A0A2E30"/>
    <w:rsid w:val="5A864D1E"/>
    <w:rsid w:val="5AA94553"/>
    <w:rsid w:val="5AD40454"/>
    <w:rsid w:val="5B400A7C"/>
    <w:rsid w:val="5B5361F1"/>
    <w:rsid w:val="5BA33293"/>
    <w:rsid w:val="5C4B4DC3"/>
    <w:rsid w:val="5C714D18"/>
    <w:rsid w:val="5D405413"/>
    <w:rsid w:val="5D9D6E08"/>
    <w:rsid w:val="5DDF6758"/>
    <w:rsid w:val="5E76567B"/>
    <w:rsid w:val="5EF217A2"/>
    <w:rsid w:val="5F475A09"/>
    <w:rsid w:val="5FF52857"/>
    <w:rsid w:val="60742C63"/>
    <w:rsid w:val="614B4F97"/>
    <w:rsid w:val="615B3570"/>
    <w:rsid w:val="61F56466"/>
    <w:rsid w:val="623D403A"/>
    <w:rsid w:val="62460465"/>
    <w:rsid w:val="626E59EE"/>
    <w:rsid w:val="631D0F03"/>
    <w:rsid w:val="632823FB"/>
    <w:rsid w:val="63635C1A"/>
    <w:rsid w:val="63F119F1"/>
    <w:rsid w:val="6402413A"/>
    <w:rsid w:val="648D34EC"/>
    <w:rsid w:val="65EA76AC"/>
    <w:rsid w:val="65F03CD9"/>
    <w:rsid w:val="660F6CDF"/>
    <w:rsid w:val="662953A3"/>
    <w:rsid w:val="664708D7"/>
    <w:rsid w:val="66637295"/>
    <w:rsid w:val="66C33D7D"/>
    <w:rsid w:val="66ED4C39"/>
    <w:rsid w:val="66F05BDD"/>
    <w:rsid w:val="670830AF"/>
    <w:rsid w:val="6774487F"/>
    <w:rsid w:val="681B144E"/>
    <w:rsid w:val="682B5AD8"/>
    <w:rsid w:val="687F0D51"/>
    <w:rsid w:val="691D3456"/>
    <w:rsid w:val="69487959"/>
    <w:rsid w:val="696B0165"/>
    <w:rsid w:val="69913605"/>
    <w:rsid w:val="6A2D4D1D"/>
    <w:rsid w:val="6B011B79"/>
    <w:rsid w:val="6B402FD1"/>
    <w:rsid w:val="6B6104DA"/>
    <w:rsid w:val="6BC66684"/>
    <w:rsid w:val="6BCB5072"/>
    <w:rsid w:val="6BF91500"/>
    <w:rsid w:val="6C3216A7"/>
    <w:rsid w:val="6CD327FA"/>
    <w:rsid w:val="6CFF61A9"/>
    <w:rsid w:val="6D8013ED"/>
    <w:rsid w:val="6EBB432F"/>
    <w:rsid w:val="6ECA3136"/>
    <w:rsid w:val="6F545D96"/>
    <w:rsid w:val="6F67141F"/>
    <w:rsid w:val="6F8F333C"/>
    <w:rsid w:val="6F9C4ACB"/>
    <w:rsid w:val="6FA4641A"/>
    <w:rsid w:val="6FE10E10"/>
    <w:rsid w:val="70557A92"/>
    <w:rsid w:val="707F14F0"/>
    <w:rsid w:val="70FA64D2"/>
    <w:rsid w:val="71294148"/>
    <w:rsid w:val="7141319B"/>
    <w:rsid w:val="71C372CC"/>
    <w:rsid w:val="72A13C35"/>
    <w:rsid w:val="72DB7BDD"/>
    <w:rsid w:val="731C568E"/>
    <w:rsid w:val="734568B0"/>
    <w:rsid w:val="73591FDA"/>
    <w:rsid w:val="748845C4"/>
    <w:rsid w:val="754919BE"/>
    <w:rsid w:val="759A554C"/>
    <w:rsid w:val="75F31B1C"/>
    <w:rsid w:val="762358E9"/>
    <w:rsid w:val="7627398E"/>
    <w:rsid w:val="76920677"/>
    <w:rsid w:val="76DE1198"/>
    <w:rsid w:val="76EF7BF3"/>
    <w:rsid w:val="77CC7197"/>
    <w:rsid w:val="77DE113A"/>
    <w:rsid w:val="78AE64F1"/>
    <w:rsid w:val="78D537A5"/>
    <w:rsid w:val="78E332A2"/>
    <w:rsid w:val="78FA3CEA"/>
    <w:rsid w:val="791E4526"/>
    <w:rsid w:val="79DB51A4"/>
    <w:rsid w:val="7A6A65DF"/>
    <w:rsid w:val="7B1B5D4A"/>
    <w:rsid w:val="7C0D002F"/>
    <w:rsid w:val="7C710BCF"/>
    <w:rsid w:val="7C7210A0"/>
    <w:rsid w:val="7C990496"/>
    <w:rsid w:val="7D92525F"/>
    <w:rsid w:val="7D975823"/>
    <w:rsid w:val="7DD81239"/>
    <w:rsid w:val="7E4D6200"/>
    <w:rsid w:val="7FD6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emf"/><Relationship Id="rId13" Type="http://schemas.openxmlformats.org/officeDocument/2006/relationships/oleObject" Target="embeddings/oleObject3.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2018-10-15T02:26:00Z</dcterms:created>
  <dc:creator>Administrator</dc:creator>
  <cp:lastModifiedBy>别、</cp:lastModifiedBy>
  <dcterms:modified xsi:type="dcterms:W3CDTF">2021-06-07T05:15:08Z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3395C8310B6649D1A97E8AC3DB2BBAF8</vt:lpwstr>
  </property>
</Properties>
</file>