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23050">
      <w:pPr>
        <w:rPr>
          <w:rFonts w:hint="eastAsia" w:ascii="黑体" w:hAnsi="黑体" w:eastAsia="黑体" w:cs="黑体"/>
          <w:sz w:val="32"/>
          <w:szCs w:val="32"/>
        </w:rPr>
      </w:pPr>
      <w:r>
        <w:rPr>
          <w:rFonts w:hint="eastAsia" w:ascii="黑体" w:hAnsi="黑体" w:eastAsia="黑体" w:cs="黑体"/>
          <w:sz w:val="32"/>
          <w:szCs w:val="32"/>
        </w:rPr>
        <w:t xml:space="preserve">附件 </w:t>
      </w:r>
    </w:p>
    <w:p w14:paraId="7CF3777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示范区</w:t>
      </w: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就业</w:t>
      </w:r>
      <w:r>
        <w:rPr>
          <w:rFonts w:hint="eastAsia" w:ascii="方正小标宋简体" w:hAnsi="方正小标宋简体" w:eastAsia="方正小标宋简体" w:cs="方正小标宋简体"/>
          <w:sz w:val="44"/>
          <w:szCs w:val="44"/>
        </w:rPr>
        <w:t>见习单位</w:t>
      </w:r>
    </w:p>
    <w:p w14:paraId="3F33B62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岗位汇总表</w:t>
      </w:r>
    </w:p>
    <w:tbl>
      <w:tblPr>
        <w:tblStyle w:val="3"/>
        <w:tblpPr w:leftFromText="180" w:rightFromText="180" w:vertAnchor="text" w:horzAnchor="page" w:tblpX="1546" w:tblpY="444"/>
        <w:tblOverlap w:val="never"/>
        <w:tblW w:w="51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404"/>
        <w:gridCol w:w="832"/>
        <w:gridCol w:w="1871"/>
        <w:gridCol w:w="1738"/>
        <w:gridCol w:w="1486"/>
      </w:tblGrid>
      <w:tr w14:paraId="6E15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7" w:hRule="atLeast"/>
        </w:trPr>
        <w:tc>
          <w:tcPr>
            <w:tcW w:w="786" w:type="pct"/>
            <w:vAlign w:val="center"/>
          </w:tcPr>
          <w:p w14:paraId="6EA1A93A">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单   位</w:t>
            </w:r>
          </w:p>
        </w:tc>
        <w:tc>
          <w:tcPr>
            <w:tcW w:w="807" w:type="pct"/>
            <w:vAlign w:val="center"/>
          </w:tcPr>
          <w:p w14:paraId="27AEC47B">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岗   位</w:t>
            </w:r>
          </w:p>
        </w:tc>
        <w:tc>
          <w:tcPr>
            <w:tcW w:w="478" w:type="pct"/>
            <w:vAlign w:val="center"/>
          </w:tcPr>
          <w:p w14:paraId="2F686381">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需求人数</w:t>
            </w:r>
          </w:p>
        </w:tc>
        <w:tc>
          <w:tcPr>
            <w:tcW w:w="1075" w:type="pct"/>
            <w:vAlign w:val="center"/>
          </w:tcPr>
          <w:p w14:paraId="57BBEADC">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学历、专业要求</w:t>
            </w:r>
          </w:p>
        </w:tc>
        <w:tc>
          <w:tcPr>
            <w:tcW w:w="999" w:type="pct"/>
            <w:vAlign w:val="center"/>
          </w:tcPr>
          <w:p w14:paraId="07112A9B">
            <w:pPr>
              <w:spacing w:line="220" w:lineRule="atLeast"/>
              <w:jc w:val="center"/>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单位地址</w:t>
            </w:r>
          </w:p>
        </w:tc>
        <w:tc>
          <w:tcPr>
            <w:tcW w:w="853" w:type="pct"/>
            <w:vAlign w:val="center"/>
          </w:tcPr>
          <w:p w14:paraId="0E0D902A">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联系人及</w:t>
            </w:r>
          </w:p>
          <w:p w14:paraId="4B005AD8">
            <w:pPr>
              <w:spacing w:line="220" w:lineRule="atLeast"/>
              <w:jc w:val="center"/>
              <w:rPr>
                <w:rFonts w:hint="eastAsia" w:ascii="宋体" w:hAnsi="宋体" w:eastAsia="宋体" w:cs="宋体"/>
                <w:b/>
                <w:bCs/>
                <w:sz w:val="22"/>
                <w:szCs w:val="22"/>
              </w:rPr>
            </w:pPr>
            <w:r>
              <w:rPr>
                <w:rFonts w:hint="eastAsia" w:ascii="宋体" w:hAnsi="宋体" w:eastAsia="宋体" w:cs="宋体"/>
                <w:b/>
                <w:bCs/>
                <w:sz w:val="22"/>
                <w:szCs w:val="22"/>
              </w:rPr>
              <w:t>联系方式</w:t>
            </w:r>
          </w:p>
        </w:tc>
      </w:tr>
      <w:tr w14:paraId="77C8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exact"/>
        </w:trPr>
        <w:tc>
          <w:tcPr>
            <w:tcW w:w="786" w:type="pct"/>
            <w:vAlign w:val="center"/>
          </w:tcPr>
          <w:p w14:paraId="14635093">
            <w:pPr>
              <w:spacing w:line="220" w:lineRule="atLeast"/>
              <w:jc w:val="center"/>
              <w:rPr>
                <w:rFonts w:hint="eastAsia" w:ascii="宋体" w:hAnsi="宋体" w:eastAsia="宋体" w:cs="宋体"/>
                <w:kern w:val="2"/>
                <w:sz w:val="22"/>
                <w:szCs w:val="22"/>
                <w:lang w:val="en-US" w:eastAsia="zh-CN"/>
              </w:rPr>
            </w:pPr>
            <w:r>
              <w:rPr>
                <w:rFonts w:hint="eastAsia" w:ascii="宋体" w:hAnsi="宋体" w:eastAsia="宋体" w:cs="宋体"/>
                <w:i w:val="0"/>
                <w:color w:val="000000"/>
                <w:sz w:val="22"/>
                <w:szCs w:val="22"/>
                <w:u w:val="none"/>
                <w:lang w:val="en-US" w:eastAsia="zh-CN"/>
              </w:rPr>
              <w:t>河南豫捷数据科技有限公司</w:t>
            </w:r>
          </w:p>
        </w:tc>
        <w:tc>
          <w:tcPr>
            <w:tcW w:w="807" w:type="pct"/>
            <w:vAlign w:val="center"/>
          </w:tcPr>
          <w:p w14:paraId="35AE22EC">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数据标注员</w:t>
            </w:r>
          </w:p>
        </w:tc>
        <w:tc>
          <w:tcPr>
            <w:tcW w:w="478" w:type="pct"/>
            <w:vAlign w:val="center"/>
          </w:tcPr>
          <w:p w14:paraId="53EF4EBA">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18</w:t>
            </w:r>
          </w:p>
        </w:tc>
        <w:tc>
          <w:tcPr>
            <w:tcW w:w="1075" w:type="pct"/>
            <w:vAlign w:val="center"/>
          </w:tcPr>
          <w:p w14:paraId="716C183D">
            <w:pPr>
              <w:jc w:val="center"/>
              <w:rPr>
                <w:rFonts w:hint="eastAsia" w:ascii="宋体" w:hAnsi="宋体" w:eastAsia="宋体" w:cs="宋体"/>
                <w:kern w:val="2"/>
                <w:sz w:val="22"/>
                <w:szCs w:val="22"/>
                <w:lang w:val="en-US" w:eastAsia="zh-CN"/>
              </w:rPr>
            </w:pPr>
            <w:r>
              <w:rPr>
                <w:rFonts w:hint="eastAsia" w:ascii="宋体" w:hAnsi="宋体" w:eastAsia="宋体" w:cs="宋体"/>
                <w:i w:val="0"/>
                <w:color w:val="000000"/>
                <w:sz w:val="22"/>
                <w:szCs w:val="22"/>
                <w:u w:val="none"/>
                <w:lang w:val="en-US" w:eastAsia="zh-CN"/>
              </w:rPr>
              <w:t>中专及以上学历；计算机、大数据专业</w:t>
            </w:r>
          </w:p>
        </w:tc>
        <w:tc>
          <w:tcPr>
            <w:tcW w:w="999" w:type="pct"/>
            <w:vAlign w:val="center"/>
          </w:tcPr>
          <w:p w14:paraId="291AC8D8">
            <w:pPr>
              <w:jc w:val="center"/>
              <w:rPr>
                <w:rFonts w:hint="eastAsia"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平顶山市城乡一体化示范区平宝大道西段因德飞智能产业园生产综合楼1302室</w:t>
            </w:r>
          </w:p>
        </w:tc>
        <w:tc>
          <w:tcPr>
            <w:tcW w:w="853" w:type="pct"/>
            <w:vAlign w:val="center"/>
          </w:tcPr>
          <w:p w14:paraId="73809CEF">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常文丽</w:t>
            </w:r>
          </w:p>
          <w:p w14:paraId="494FE3D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15237517802</w:t>
            </w:r>
          </w:p>
        </w:tc>
      </w:tr>
      <w:tr w14:paraId="05AB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86" w:type="pct"/>
            <w:vMerge w:val="restart"/>
            <w:vAlign w:val="center"/>
          </w:tcPr>
          <w:p w14:paraId="2EAECCE5">
            <w:pPr>
              <w:spacing w:line="220" w:lineRule="atLeast"/>
              <w:jc w:val="center"/>
              <w:rPr>
                <w:rFonts w:hint="eastAsia" w:ascii="宋体" w:hAnsi="宋体" w:eastAsia="宋体" w:cs="宋体"/>
                <w:sz w:val="22"/>
                <w:szCs w:val="22"/>
                <w:lang w:val="en-US" w:eastAsia="zh-CN"/>
              </w:rPr>
            </w:pPr>
            <w:r>
              <w:rPr>
                <w:rFonts w:hint="eastAsia" w:ascii="宋体" w:hAnsi="宋体" w:eastAsia="宋体" w:cs="宋体"/>
                <w:color w:val="000000"/>
                <w:kern w:val="0"/>
                <w:sz w:val="22"/>
                <w:szCs w:val="22"/>
                <w:u w:val="none"/>
                <w:lang w:val="en-US" w:eastAsia="zh-CN"/>
              </w:rPr>
              <w:t>河南千蜂养老服务管理有限公司</w:t>
            </w:r>
          </w:p>
        </w:tc>
        <w:tc>
          <w:tcPr>
            <w:tcW w:w="807" w:type="pct"/>
            <w:vAlign w:val="center"/>
          </w:tcPr>
          <w:p w14:paraId="328F9EBE">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color w:val="000000"/>
                <w:kern w:val="0"/>
                <w:sz w:val="22"/>
                <w:szCs w:val="22"/>
              </w:rPr>
              <w:t>养老服务</w:t>
            </w:r>
          </w:p>
        </w:tc>
        <w:tc>
          <w:tcPr>
            <w:tcW w:w="478" w:type="pct"/>
            <w:shd w:val="clear" w:color="auto" w:fill="auto"/>
            <w:vAlign w:val="center"/>
          </w:tcPr>
          <w:p w14:paraId="66CC0B11">
            <w:pPr>
              <w:widowControl/>
              <w:adjustRightInd w:val="0"/>
              <w:snapToGrid w:val="0"/>
              <w:spacing w:line="400" w:lineRule="exact"/>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6</w:t>
            </w:r>
          </w:p>
        </w:tc>
        <w:tc>
          <w:tcPr>
            <w:tcW w:w="1075" w:type="pct"/>
            <w:vAlign w:val="center"/>
          </w:tcPr>
          <w:p w14:paraId="3E061F36">
            <w:pPr>
              <w:jc w:val="center"/>
              <w:rPr>
                <w:rFonts w:hint="eastAsia" w:ascii="宋体" w:hAnsi="宋体" w:eastAsia="宋体" w:cs="宋体"/>
                <w:sz w:val="22"/>
                <w:szCs w:val="22"/>
                <w:lang w:val="en-US" w:eastAsia="zh-CN"/>
              </w:rPr>
            </w:pPr>
            <w:r>
              <w:rPr>
                <w:rFonts w:hint="eastAsia" w:ascii="宋体" w:hAnsi="宋体" w:eastAsia="宋体" w:cs="宋体"/>
                <w:i w:val="0"/>
                <w:color w:val="000000"/>
                <w:sz w:val="22"/>
                <w:szCs w:val="22"/>
                <w:u w:val="none"/>
                <w:lang w:val="en-US" w:eastAsia="zh-CN"/>
              </w:rPr>
              <w:t>大专及以上</w:t>
            </w:r>
            <w:r>
              <w:rPr>
                <w:rFonts w:hint="eastAsia" w:ascii="宋体" w:hAnsi="宋体" w:cs="宋体"/>
                <w:i w:val="0"/>
                <w:color w:val="000000"/>
                <w:sz w:val="22"/>
                <w:szCs w:val="22"/>
                <w:u w:val="none"/>
                <w:lang w:val="en-US" w:eastAsia="zh-CN"/>
              </w:rPr>
              <w:t>学历；养老相关专业</w:t>
            </w:r>
          </w:p>
        </w:tc>
        <w:tc>
          <w:tcPr>
            <w:tcW w:w="999" w:type="pct"/>
            <w:vMerge w:val="restart"/>
            <w:vAlign w:val="center"/>
          </w:tcPr>
          <w:p w14:paraId="01350EF4">
            <w:pPr>
              <w:jc w:val="center"/>
              <w:rPr>
                <w:rFonts w:hint="eastAsia" w:ascii="宋体" w:hAnsi="宋体" w:eastAsia="宋体" w:cs="宋体"/>
                <w:sz w:val="22"/>
                <w:szCs w:val="22"/>
                <w:lang w:val="en-US" w:eastAsia="zh-CN"/>
              </w:rPr>
            </w:pPr>
            <w:r>
              <w:rPr>
                <w:rFonts w:hint="eastAsia" w:ascii="宋体" w:hAnsi="宋体" w:eastAsia="宋体" w:cs="宋体"/>
                <w:color w:val="000000"/>
                <w:kern w:val="0"/>
                <w:sz w:val="22"/>
                <w:szCs w:val="22"/>
              </w:rPr>
              <w:t>河南省平顶山市示范区崇文路新城小区西门18号楼112号商铺</w:t>
            </w:r>
          </w:p>
        </w:tc>
        <w:tc>
          <w:tcPr>
            <w:tcW w:w="853" w:type="pct"/>
            <w:vMerge w:val="restart"/>
            <w:vAlign w:val="center"/>
          </w:tcPr>
          <w:p w14:paraId="32B4047D">
            <w:pPr>
              <w:jc w:val="center"/>
              <w:rPr>
                <w:rFonts w:hint="eastAsia" w:ascii="宋体" w:hAnsi="宋体" w:eastAsia="宋体" w:cs="宋体"/>
                <w:sz w:val="22"/>
                <w:szCs w:val="22"/>
                <w:lang w:val="en-US" w:eastAsia="zh-CN"/>
              </w:rPr>
            </w:pPr>
            <w:r>
              <w:rPr>
                <w:rFonts w:hint="eastAsia" w:ascii="宋体" w:hAnsi="宋体" w:eastAsia="宋体" w:cs="宋体"/>
                <w:color w:val="000000"/>
                <w:kern w:val="0"/>
                <w:sz w:val="22"/>
                <w:szCs w:val="22"/>
                <w:lang w:val="en-US" w:eastAsia="zh-CN"/>
              </w:rPr>
              <w:t>杨</w:t>
            </w:r>
            <w:r>
              <w:rPr>
                <w:rFonts w:hint="eastAsia" w:ascii="宋体" w:hAnsi="宋体" w:cs="宋体"/>
                <w:color w:val="000000"/>
                <w:kern w:val="0"/>
                <w:sz w:val="22"/>
                <w:szCs w:val="22"/>
                <w:lang w:val="en-US" w:eastAsia="zh-CN"/>
              </w:rPr>
              <w:t xml:space="preserve">  </w:t>
            </w:r>
            <w:r>
              <w:rPr>
                <w:rFonts w:hint="eastAsia" w:ascii="宋体" w:hAnsi="宋体" w:eastAsia="宋体" w:cs="宋体"/>
                <w:color w:val="000000"/>
                <w:kern w:val="0"/>
                <w:sz w:val="22"/>
                <w:szCs w:val="22"/>
                <w:lang w:val="en-US" w:eastAsia="zh-CN"/>
              </w:rPr>
              <w:t>玲18503756788</w:t>
            </w:r>
          </w:p>
        </w:tc>
      </w:tr>
      <w:tr w14:paraId="64AD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86" w:type="pct"/>
            <w:vMerge w:val="continue"/>
            <w:vAlign w:val="center"/>
          </w:tcPr>
          <w:p w14:paraId="2EEA58D9">
            <w:pPr>
              <w:spacing w:line="220" w:lineRule="atLeast"/>
              <w:jc w:val="center"/>
              <w:rPr>
                <w:rFonts w:hint="eastAsia" w:ascii="宋体" w:hAnsi="宋体" w:eastAsia="宋体" w:cs="宋体"/>
                <w:sz w:val="22"/>
                <w:szCs w:val="22"/>
                <w:lang w:val="en-US" w:eastAsia="zh-CN"/>
              </w:rPr>
            </w:pPr>
          </w:p>
        </w:tc>
        <w:tc>
          <w:tcPr>
            <w:tcW w:w="807" w:type="pct"/>
            <w:vAlign w:val="center"/>
          </w:tcPr>
          <w:p w14:paraId="5D6B04AC">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cs="宋体"/>
                <w:color w:val="000000"/>
                <w:kern w:val="0"/>
                <w:sz w:val="22"/>
                <w:szCs w:val="22"/>
                <w:lang w:val="en-US" w:eastAsia="zh-CN"/>
              </w:rPr>
              <w:t>见</w:t>
            </w:r>
            <w:r>
              <w:rPr>
                <w:rFonts w:hint="eastAsia" w:ascii="宋体" w:hAnsi="宋体" w:eastAsia="宋体" w:cs="宋体"/>
                <w:color w:val="000000"/>
                <w:kern w:val="0"/>
                <w:sz w:val="22"/>
                <w:szCs w:val="22"/>
                <w:lang w:val="en-US" w:eastAsia="zh-CN"/>
              </w:rPr>
              <w:t>习店长</w:t>
            </w:r>
          </w:p>
        </w:tc>
        <w:tc>
          <w:tcPr>
            <w:tcW w:w="478" w:type="pct"/>
            <w:shd w:val="clear" w:color="auto" w:fill="auto"/>
            <w:vAlign w:val="center"/>
          </w:tcPr>
          <w:p w14:paraId="0D281D02">
            <w:pPr>
              <w:widowControl/>
              <w:adjustRightInd w:val="0"/>
              <w:snapToGrid w:val="0"/>
              <w:spacing w:line="400" w:lineRule="exact"/>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5</w:t>
            </w:r>
          </w:p>
        </w:tc>
        <w:tc>
          <w:tcPr>
            <w:tcW w:w="1075" w:type="pct"/>
            <w:vAlign w:val="center"/>
          </w:tcPr>
          <w:p w14:paraId="19746687">
            <w:pPr>
              <w:jc w:val="center"/>
              <w:rPr>
                <w:rFonts w:hint="eastAsia" w:ascii="宋体" w:hAnsi="宋体" w:eastAsia="宋体" w:cs="宋体"/>
                <w:sz w:val="22"/>
                <w:szCs w:val="22"/>
                <w:lang w:val="en-US" w:eastAsia="zh-CN"/>
              </w:rPr>
            </w:pPr>
            <w:r>
              <w:rPr>
                <w:rFonts w:hint="eastAsia" w:ascii="宋体" w:hAnsi="宋体" w:eastAsia="宋体" w:cs="宋体"/>
                <w:i w:val="0"/>
                <w:color w:val="000000"/>
                <w:sz w:val="22"/>
                <w:szCs w:val="22"/>
                <w:u w:val="none"/>
                <w:lang w:val="en-US" w:eastAsia="zh-CN"/>
              </w:rPr>
              <w:t>大专及以上</w:t>
            </w:r>
            <w:r>
              <w:rPr>
                <w:rFonts w:hint="eastAsia" w:ascii="宋体" w:hAnsi="宋体" w:cs="宋体"/>
                <w:i w:val="0"/>
                <w:color w:val="000000"/>
                <w:sz w:val="22"/>
                <w:szCs w:val="22"/>
                <w:u w:val="none"/>
                <w:lang w:val="en-US" w:eastAsia="zh-CN"/>
              </w:rPr>
              <w:t>学历；养老相关专业</w:t>
            </w:r>
          </w:p>
        </w:tc>
        <w:tc>
          <w:tcPr>
            <w:tcW w:w="999" w:type="pct"/>
            <w:vMerge w:val="continue"/>
            <w:vAlign w:val="center"/>
          </w:tcPr>
          <w:p w14:paraId="0F4226EA">
            <w:pPr>
              <w:jc w:val="center"/>
              <w:rPr>
                <w:rFonts w:hint="eastAsia" w:ascii="宋体" w:hAnsi="宋体" w:eastAsia="宋体" w:cs="宋体"/>
                <w:sz w:val="22"/>
                <w:szCs w:val="22"/>
                <w:lang w:val="en-US" w:eastAsia="zh-CN"/>
              </w:rPr>
            </w:pPr>
          </w:p>
        </w:tc>
        <w:tc>
          <w:tcPr>
            <w:tcW w:w="853" w:type="pct"/>
            <w:vMerge w:val="continue"/>
            <w:vAlign w:val="center"/>
          </w:tcPr>
          <w:p w14:paraId="3F104DB6">
            <w:pPr>
              <w:jc w:val="center"/>
              <w:rPr>
                <w:rFonts w:hint="eastAsia" w:ascii="宋体" w:hAnsi="宋体" w:eastAsia="宋体" w:cs="宋体"/>
                <w:sz w:val="22"/>
                <w:szCs w:val="22"/>
                <w:lang w:val="en-US" w:eastAsia="zh-CN"/>
              </w:rPr>
            </w:pPr>
          </w:p>
        </w:tc>
      </w:tr>
      <w:tr w14:paraId="4C54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86" w:type="pct"/>
            <w:vMerge w:val="continue"/>
            <w:vAlign w:val="center"/>
          </w:tcPr>
          <w:p w14:paraId="0BA465C9">
            <w:pPr>
              <w:spacing w:line="220" w:lineRule="atLeast"/>
              <w:jc w:val="center"/>
              <w:rPr>
                <w:rFonts w:hint="eastAsia" w:ascii="宋体" w:hAnsi="宋体" w:eastAsia="宋体" w:cs="宋体"/>
                <w:sz w:val="22"/>
                <w:szCs w:val="22"/>
                <w:lang w:val="en-US" w:eastAsia="zh-CN"/>
              </w:rPr>
            </w:pPr>
          </w:p>
        </w:tc>
        <w:tc>
          <w:tcPr>
            <w:tcW w:w="807" w:type="pct"/>
            <w:vAlign w:val="center"/>
          </w:tcPr>
          <w:p w14:paraId="117D1BAF">
            <w:pPr>
              <w:jc w:val="center"/>
              <w:rPr>
                <w:rFonts w:hint="eastAsia" w:ascii="宋体" w:hAnsi="宋体" w:eastAsia="宋体" w:cs="宋体"/>
                <w:i w:val="0"/>
                <w:color w:val="000000"/>
                <w:sz w:val="22"/>
                <w:szCs w:val="22"/>
                <w:u w:val="none"/>
                <w:lang w:eastAsia="zh-CN"/>
              </w:rPr>
            </w:pPr>
            <w:r>
              <w:rPr>
                <w:rFonts w:hint="eastAsia" w:ascii="宋体" w:hAnsi="宋体" w:eastAsia="宋体" w:cs="宋体"/>
                <w:color w:val="000000"/>
                <w:kern w:val="0"/>
                <w:sz w:val="22"/>
                <w:szCs w:val="22"/>
                <w:lang w:val="en-US" w:eastAsia="zh-CN"/>
              </w:rPr>
              <w:t>门店助理</w:t>
            </w:r>
          </w:p>
        </w:tc>
        <w:tc>
          <w:tcPr>
            <w:tcW w:w="478" w:type="pct"/>
            <w:shd w:val="clear" w:color="auto" w:fill="auto"/>
            <w:vAlign w:val="center"/>
          </w:tcPr>
          <w:p w14:paraId="21306906">
            <w:pPr>
              <w:widowControl/>
              <w:adjustRightInd w:val="0"/>
              <w:snapToGrid w:val="0"/>
              <w:spacing w:line="400" w:lineRule="exact"/>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p>
        </w:tc>
        <w:tc>
          <w:tcPr>
            <w:tcW w:w="1075" w:type="pct"/>
            <w:vAlign w:val="center"/>
          </w:tcPr>
          <w:p w14:paraId="7FC19071">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大专及以上</w:t>
            </w:r>
            <w:r>
              <w:rPr>
                <w:rFonts w:hint="eastAsia" w:ascii="宋体" w:hAnsi="宋体" w:cs="宋体"/>
                <w:i w:val="0"/>
                <w:color w:val="000000"/>
                <w:sz w:val="22"/>
                <w:szCs w:val="22"/>
                <w:u w:val="none"/>
                <w:lang w:val="en-US" w:eastAsia="zh-CN"/>
              </w:rPr>
              <w:t>学历；养老相关专业</w:t>
            </w:r>
          </w:p>
        </w:tc>
        <w:tc>
          <w:tcPr>
            <w:tcW w:w="999" w:type="pct"/>
            <w:vMerge w:val="continue"/>
            <w:vAlign w:val="center"/>
          </w:tcPr>
          <w:p w14:paraId="6837BB56">
            <w:pPr>
              <w:jc w:val="center"/>
              <w:rPr>
                <w:rFonts w:hint="eastAsia" w:ascii="宋体" w:hAnsi="宋体" w:eastAsia="宋体" w:cs="宋体"/>
                <w:sz w:val="22"/>
                <w:szCs w:val="22"/>
                <w:lang w:val="en-US" w:eastAsia="zh-CN"/>
              </w:rPr>
            </w:pPr>
          </w:p>
        </w:tc>
        <w:tc>
          <w:tcPr>
            <w:tcW w:w="853" w:type="pct"/>
            <w:vMerge w:val="continue"/>
            <w:vAlign w:val="center"/>
          </w:tcPr>
          <w:p w14:paraId="1CE98975">
            <w:pPr>
              <w:jc w:val="center"/>
              <w:rPr>
                <w:rFonts w:hint="eastAsia" w:ascii="宋体" w:hAnsi="宋体" w:eastAsia="宋体" w:cs="宋体"/>
                <w:sz w:val="22"/>
                <w:szCs w:val="22"/>
                <w:lang w:val="en-US" w:eastAsia="zh-CN"/>
              </w:rPr>
            </w:pPr>
          </w:p>
        </w:tc>
      </w:tr>
      <w:tr w14:paraId="1403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86" w:type="pct"/>
            <w:vMerge w:val="continue"/>
            <w:vAlign w:val="center"/>
          </w:tcPr>
          <w:p w14:paraId="239C81F5">
            <w:pPr>
              <w:spacing w:line="220" w:lineRule="atLeast"/>
              <w:jc w:val="center"/>
              <w:rPr>
                <w:rFonts w:hint="eastAsia" w:ascii="宋体" w:hAnsi="宋体" w:eastAsia="宋体" w:cs="宋体"/>
                <w:sz w:val="22"/>
                <w:szCs w:val="22"/>
                <w:lang w:val="en-US" w:eastAsia="zh-CN"/>
              </w:rPr>
            </w:pPr>
          </w:p>
        </w:tc>
        <w:tc>
          <w:tcPr>
            <w:tcW w:w="807" w:type="pct"/>
            <w:vAlign w:val="center"/>
          </w:tcPr>
          <w:p w14:paraId="2CF8B4C2">
            <w:pPr>
              <w:jc w:val="center"/>
              <w:rPr>
                <w:rFonts w:hint="eastAsia" w:ascii="宋体" w:hAnsi="宋体" w:eastAsia="宋体" w:cs="宋体"/>
                <w:i w:val="0"/>
                <w:color w:val="000000"/>
                <w:sz w:val="22"/>
                <w:szCs w:val="22"/>
                <w:u w:val="none"/>
                <w:lang w:eastAsia="zh-CN"/>
              </w:rPr>
            </w:pPr>
            <w:r>
              <w:rPr>
                <w:rFonts w:hint="eastAsia" w:ascii="宋体" w:hAnsi="宋体" w:eastAsia="宋体" w:cs="宋体"/>
                <w:color w:val="000000"/>
                <w:kern w:val="0"/>
                <w:sz w:val="22"/>
                <w:szCs w:val="22"/>
                <w:lang w:val="en-US" w:eastAsia="zh-CN"/>
              </w:rPr>
              <w:t>导师助理</w:t>
            </w:r>
          </w:p>
        </w:tc>
        <w:tc>
          <w:tcPr>
            <w:tcW w:w="478" w:type="pct"/>
            <w:shd w:val="clear" w:color="auto" w:fill="auto"/>
            <w:vAlign w:val="center"/>
          </w:tcPr>
          <w:p w14:paraId="545BB34C">
            <w:pPr>
              <w:widowControl/>
              <w:adjustRightInd w:val="0"/>
              <w:snapToGrid w:val="0"/>
              <w:spacing w:line="400" w:lineRule="exact"/>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w:t>
            </w:r>
          </w:p>
        </w:tc>
        <w:tc>
          <w:tcPr>
            <w:tcW w:w="1075" w:type="pct"/>
            <w:vAlign w:val="center"/>
          </w:tcPr>
          <w:p w14:paraId="30F8A31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大专及以上</w:t>
            </w:r>
            <w:r>
              <w:rPr>
                <w:rFonts w:hint="eastAsia" w:ascii="宋体" w:hAnsi="宋体" w:cs="宋体"/>
                <w:i w:val="0"/>
                <w:color w:val="000000"/>
                <w:sz w:val="22"/>
                <w:szCs w:val="22"/>
                <w:u w:val="none"/>
                <w:lang w:val="en-US" w:eastAsia="zh-CN"/>
              </w:rPr>
              <w:t>学历；养老相关专业</w:t>
            </w:r>
          </w:p>
        </w:tc>
        <w:tc>
          <w:tcPr>
            <w:tcW w:w="999" w:type="pct"/>
            <w:vMerge w:val="continue"/>
            <w:vAlign w:val="center"/>
          </w:tcPr>
          <w:p w14:paraId="21EB7001">
            <w:pPr>
              <w:jc w:val="center"/>
              <w:rPr>
                <w:rFonts w:hint="eastAsia" w:ascii="宋体" w:hAnsi="宋体" w:eastAsia="宋体" w:cs="宋体"/>
                <w:sz w:val="22"/>
                <w:szCs w:val="22"/>
                <w:lang w:val="en-US" w:eastAsia="zh-CN"/>
              </w:rPr>
            </w:pPr>
          </w:p>
        </w:tc>
        <w:tc>
          <w:tcPr>
            <w:tcW w:w="853" w:type="pct"/>
            <w:vMerge w:val="continue"/>
            <w:vAlign w:val="center"/>
          </w:tcPr>
          <w:p w14:paraId="415A04BB">
            <w:pPr>
              <w:jc w:val="center"/>
              <w:rPr>
                <w:rFonts w:hint="eastAsia" w:ascii="宋体" w:hAnsi="宋体" w:eastAsia="宋体" w:cs="宋体"/>
                <w:sz w:val="22"/>
                <w:szCs w:val="22"/>
                <w:lang w:val="en-US" w:eastAsia="zh-CN"/>
              </w:rPr>
            </w:pPr>
          </w:p>
        </w:tc>
      </w:tr>
      <w:tr w14:paraId="493D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86" w:type="pct"/>
            <w:vMerge w:val="continue"/>
            <w:vAlign w:val="center"/>
          </w:tcPr>
          <w:p w14:paraId="27A39E92">
            <w:pPr>
              <w:spacing w:line="220" w:lineRule="atLeast"/>
              <w:jc w:val="center"/>
              <w:rPr>
                <w:rFonts w:hint="eastAsia" w:ascii="宋体" w:hAnsi="宋体" w:eastAsia="宋体" w:cs="宋体"/>
                <w:sz w:val="22"/>
                <w:szCs w:val="22"/>
                <w:lang w:val="en-US" w:eastAsia="zh-CN"/>
              </w:rPr>
            </w:pPr>
          </w:p>
        </w:tc>
        <w:tc>
          <w:tcPr>
            <w:tcW w:w="807" w:type="pct"/>
            <w:vAlign w:val="center"/>
          </w:tcPr>
          <w:p w14:paraId="686DF85E">
            <w:pPr>
              <w:jc w:val="center"/>
              <w:rPr>
                <w:rFonts w:hint="eastAsia" w:ascii="宋体" w:hAnsi="宋体" w:eastAsia="宋体" w:cs="宋体"/>
                <w:i w:val="0"/>
                <w:color w:val="000000"/>
                <w:sz w:val="22"/>
                <w:szCs w:val="22"/>
                <w:u w:val="none"/>
                <w:lang w:eastAsia="zh-CN"/>
              </w:rPr>
            </w:pPr>
            <w:r>
              <w:rPr>
                <w:rFonts w:hint="eastAsia" w:ascii="宋体" w:hAnsi="宋体" w:eastAsia="宋体" w:cs="宋体"/>
                <w:color w:val="000000"/>
                <w:kern w:val="0"/>
                <w:sz w:val="22"/>
                <w:szCs w:val="22"/>
                <w:lang w:val="en-US" w:eastAsia="zh-CN"/>
              </w:rPr>
              <w:t>运营助理</w:t>
            </w:r>
          </w:p>
        </w:tc>
        <w:tc>
          <w:tcPr>
            <w:tcW w:w="478" w:type="pct"/>
            <w:shd w:val="clear" w:color="auto" w:fill="auto"/>
            <w:vAlign w:val="center"/>
          </w:tcPr>
          <w:p w14:paraId="69051B6D">
            <w:pPr>
              <w:widowControl/>
              <w:adjustRightInd w:val="0"/>
              <w:snapToGrid w:val="0"/>
              <w:spacing w:line="400" w:lineRule="exact"/>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p>
        </w:tc>
        <w:tc>
          <w:tcPr>
            <w:tcW w:w="1075" w:type="pct"/>
            <w:vAlign w:val="center"/>
          </w:tcPr>
          <w:p w14:paraId="781B1FA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大专及以上</w:t>
            </w:r>
            <w:r>
              <w:rPr>
                <w:rFonts w:hint="eastAsia" w:ascii="宋体" w:hAnsi="宋体" w:cs="宋体"/>
                <w:i w:val="0"/>
                <w:color w:val="000000"/>
                <w:sz w:val="22"/>
                <w:szCs w:val="22"/>
                <w:u w:val="none"/>
                <w:lang w:val="en-US" w:eastAsia="zh-CN"/>
              </w:rPr>
              <w:t>学历；养老相关专业</w:t>
            </w:r>
          </w:p>
        </w:tc>
        <w:tc>
          <w:tcPr>
            <w:tcW w:w="999" w:type="pct"/>
            <w:vMerge w:val="continue"/>
            <w:vAlign w:val="center"/>
          </w:tcPr>
          <w:p w14:paraId="5E895F94">
            <w:pPr>
              <w:jc w:val="center"/>
              <w:rPr>
                <w:rFonts w:hint="eastAsia" w:ascii="宋体" w:hAnsi="宋体" w:eastAsia="宋体" w:cs="宋体"/>
                <w:sz w:val="22"/>
                <w:szCs w:val="22"/>
                <w:lang w:val="en-US" w:eastAsia="zh-CN"/>
              </w:rPr>
            </w:pPr>
          </w:p>
        </w:tc>
        <w:tc>
          <w:tcPr>
            <w:tcW w:w="853" w:type="pct"/>
            <w:vMerge w:val="continue"/>
            <w:vAlign w:val="center"/>
          </w:tcPr>
          <w:p w14:paraId="37FFCDA2">
            <w:pPr>
              <w:jc w:val="center"/>
              <w:rPr>
                <w:rFonts w:hint="eastAsia" w:ascii="宋体" w:hAnsi="宋体" w:eastAsia="宋体" w:cs="宋体"/>
                <w:sz w:val="22"/>
                <w:szCs w:val="22"/>
                <w:lang w:val="en-US" w:eastAsia="zh-CN"/>
              </w:rPr>
            </w:pPr>
          </w:p>
        </w:tc>
      </w:tr>
      <w:tr w14:paraId="19C1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786" w:type="pct"/>
            <w:vAlign w:val="center"/>
          </w:tcPr>
          <w:p w14:paraId="65B98603">
            <w:pPr>
              <w:spacing w:line="22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合计（2家）</w:t>
            </w:r>
          </w:p>
        </w:tc>
        <w:tc>
          <w:tcPr>
            <w:tcW w:w="4213" w:type="pct"/>
            <w:gridSpan w:val="5"/>
            <w:vAlign w:val="center"/>
          </w:tcPr>
          <w:p w14:paraId="503CF913">
            <w:pPr>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34</w:t>
            </w:r>
            <w:r>
              <w:rPr>
                <w:rFonts w:hint="eastAsia" w:ascii="宋体" w:hAnsi="宋体" w:eastAsia="宋体" w:cs="宋体"/>
                <w:sz w:val="22"/>
                <w:szCs w:val="22"/>
                <w:lang w:val="en-US" w:eastAsia="zh-CN"/>
              </w:rPr>
              <w:t>人（</w:t>
            </w:r>
            <w:r>
              <w:rPr>
                <w:rFonts w:hint="eastAsia" w:ascii="宋体" w:hAnsi="宋体" w:cs="宋体"/>
                <w:sz w:val="22"/>
                <w:szCs w:val="22"/>
                <w:lang w:val="en-US" w:eastAsia="zh-CN"/>
              </w:rPr>
              <w:t>6</w:t>
            </w:r>
            <w:r>
              <w:rPr>
                <w:rFonts w:hint="eastAsia" w:ascii="宋体" w:hAnsi="宋体" w:eastAsia="宋体" w:cs="宋体"/>
                <w:sz w:val="22"/>
                <w:szCs w:val="22"/>
                <w:lang w:val="en-US" w:eastAsia="zh-CN"/>
              </w:rPr>
              <w:t>个职位）</w:t>
            </w:r>
          </w:p>
        </w:tc>
      </w:tr>
    </w:tbl>
    <w:p w14:paraId="2449581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903B4"/>
    <w:rsid w:val="78490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2026-08-24T07:23:00Z</dcterms:created>
  <dc:creator>兮兮</dc:creator>
  <cp:lastModifiedBy>兮兮</cp:lastModifiedBy>
  <dcterms:modified xsi:type="dcterms:W3CDTF">2026-08-24T07:24:17Z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2EA4EB30B271440F82DBB711137F54C3_11</vt:lpwstr>
  </property>
  <property fmtid="{D5CDD505-2E9C-101B-9397-08002B2CF9AE}" pid="4" name="KSOTemplateDocerSaveRecord">
    <vt:lpwstr>eyJoZGlkIjoiYWEyMDU4M2QyYmQ1NTIzNDM3NThlNmEwNGViNDMxMzYiLCJ1c2VySWQiOiIyNDMwMzA2MzgifQ==</vt:lpwstr>
  </property>
</Properties>
</file>